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20" w:type="dxa"/>
        <w:jc w:val="center"/>
        <w:tblLook w:val="04A0"/>
      </w:tblPr>
      <w:tblGrid>
        <w:gridCol w:w="760"/>
        <w:gridCol w:w="1160"/>
        <w:gridCol w:w="1060"/>
        <w:gridCol w:w="1300"/>
        <w:gridCol w:w="1000"/>
        <w:gridCol w:w="1060"/>
        <w:gridCol w:w="1260"/>
        <w:gridCol w:w="1060"/>
        <w:gridCol w:w="1180"/>
        <w:gridCol w:w="280"/>
      </w:tblGrid>
      <w:tr w:rsidR="0017778C">
        <w:trPr>
          <w:trHeight w:val="315"/>
          <w:jc w:val="center"/>
        </w:trPr>
        <w:tc>
          <w:tcPr>
            <w:tcW w:w="9840" w:type="dxa"/>
            <w:gridSpan w:val="9"/>
            <w:tcBorders>
              <w:top w:val="nil"/>
              <w:left w:val="nil"/>
              <w:bottom w:val="nil"/>
              <w:right w:val="nil"/>
            </w:tcBorders>
            <w:shd w:val="clear" w:color="auto" w:fill="auto"/>
            <w:noWrap/>
            <w:vAlign w:val="center"/>
          </w:tcPr>
          <w:p w:rsidR="0017778C" w:rsidRDefault="001360CD">
            <w:pPr>
              <w:widowControl/>
              <w:jc w:val="center"/>
              <w:rPr>
                <w:rFonts w:ascii="宋体" w:hAnsi="宋体" w:cs="宋体"/>
                <w:kern w:val="0"/>
                <w:sz w:val="20"/>
              </w:rPr>
            </w:pPr>
            <w:bookmarkStart w:id="0" w:name="RANGE!A1:I41"/>
            <w:r>
              <w:rPr>
                <w:b/>
                <w:bCs/>
                <w:kern w:val="0"/>
                <w:sz w:val="24"/>
                <w:szCs w:val="24"/>
              </w:rPr>
              <w:t>19</w:t>
            </w:r>
            <w:r>
              <w:rPr>
                <w:rFonts w:hint="eastAsia"/>
                <w:b/>
                <w:bCs/>
                <w:kern w:val="0"/>
                <w:sz w:val="24"/>
                <w:szCs w:val="24"/>
              </w:rPr>
              <w:t>85</w:t>
            </w:r>
            <w:r>
              <w:rPr>
                <w:b/>
                <w:bCs/>
                <w:kern w:val="0"/>
                <w:sz w:val="24"/>
                <w:szCs w:val="24"/>
              </w:rPr>
              <w:t>-20</w:t>
            </w:r>
            <w:r>
              <w:rPr>
                <w:rFonts w:hint="eastAsia"/>
                <w:b/>
                <w:bCs/>
                <w:kern w:val="0"/>
                <w:sz w:val="24"/>
                <w:szCs w:val="24"/>
              </w:rPr>
              <w:t>2</w:t>
            </w:r>
            <w:r>
              <w:rPr>
                <w:b/>
                <w:bCs/>
                <w:kern w:val="0"/>
                <w:sz w:val="24"/>
                <w:szCs w:val="24"/>
              </w:rPr>
              <w:t>4</w:t>
            </w:r>
            <w:r>
              <w:rPr>
                <w:rFonts w:ascii="楷体_GB2312" w:eastAsia="楷体_GB2312" w:hint="eastAsia"/>
                <w:b/>
                <w:bCs/>
                <w:kern w:val="0"/>
                <w:sz w:val="24"/>
                <w:szCs w:val="24"/>
              </w:rPr>
              <w:t>年中国外债与国民经济、外汇收入</w:t>
            </w:r>
            <w:bookmarkEnd w:id="0"/>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nil"/>
              <w:bottom w:val="nil"/>
              <w:right w:val="nil"/>
            </w:tcBorders>
            <w:shd w:val="clear" w:color="auto" w:fill="auto"/>
            <w:noWrap/>
            <w:vAlign w:val="center"/>
          </w:tcPr>
          <w:p w:rsidR="0017778C" w:rsidRDefault="0017778C">
            <w:pPr>
              <w:widowControl/>
              <w:jc w:val="center"/>
              <w:rPr>
                <w:b/>
                <w:bCs/>
                <w:kern w:val="0"/>
                <w:sz w:val="20"/>
              </w:rPr>
            </w:pPr>
          </w:p>
        </w:tc>
        <w:tc>
          <w:tcPr>
            <w:tcW w:w="116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06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30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00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06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26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06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1180" w:type="dxa"/>
            <w:tcBorders>
              <w:top w:val="nil"/>
              <w:left w:val="nil"/>
              <w:bottom w:val="nil"/>
              <w:right w:val="nil"/>
            </w:tcBorders>
            <w:shd w:val="clear" w:color="auto" w:fill="auto"/>
            <w:noWrap/>
            <w:vAlign w:val="center"/>
          </w:tcPr>
          <w:p w:rsidR="0017778C" w:rsidRDefault="0017778C">
            <w:pPr>
              <w:widowControl/>
              <w:jc w:val="center"/>
              <w:rPr>
                <w:rFonts w:ascii="宋体" w:hAnsi="宋体" w:cs="宋体"/>
                <w:kern w:val="0"/>
                <w:sz w:val="20"/>
              </w:rPr>
            </w:pP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1005"/>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17778C" w:rsidRDefault="001360CD">
            <w:pPr>
              <w:widowControl/>
              <w:jc w:val="left"/>
              <w:rPr>
                <w:kern w:val="0"/>
                <w:sz w:val="20"/>
              </w:rPr>
            </w:pPr>
            <w:r>
              <w:rPr>
                <w:rFonts w:ascii="宋体" w:hAnsi="宋体" w:hint="eastAsia"/>
                <w:kern w:val="0"/>
                <w:sz w:val="20"/>
              </w:rPr>
              <w:t>项目</w:t>
            </w:r>
            <w:r>
              <w:rPr>
                <w:kern w:val="0"/>
                <w:sz w:val="20"/>
              </w:rPr>
              <w:t>/</w:t>
            </w:r>
            <w:r>
              <w:rPr>
                <w:rFonts w:ascii="宋体" w:hAnsi="宋体" w:hint="eastAsia"/>
                <w:kern w:val="0"/>
                <w:sz w:val="20"/>
              </w:rPr>
              <w:t>年度</w:t>
            </w:r>
          </w:p>
        </w:tc>
        <w:tc>
          <w:tcPr>
            <w:tcW w:w="116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外债余额</w:t>
            </w:r>
            <w:r>
              <w:rPr>
                <w:kern w:val="0"/>
                <w:sz w:val="20"/>
              </w:rPr>
              <w:t>(</w:t>
            </w:r>
            <w:r>
              <w:rPr>
                <w:rFonts w:ascii="宋体" w:hAnsi="宋体" w:hint="eastAsia"/>
                <w:kern w:val="0"/>
                <w:sz w:val="20"/>
              </w:rPr>
              <w:t>十亿美元</w:t>
            </w:r>
            <w:r>
              <w:rPr>
                <w:kern w:val="0"/>
                <w:sz w:val="20"/>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外债余额比上年增长</w:t>
            </w:r>
          </w:p>
        </w:tc>
        <w:tc>
          <w:tcPr>
            <w:tcW w:w="130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国内生产总值</w:t>
            </w:r>
            <w:r>
              <w:rPr>
                <w:kern w:val="0"/>
                <w:sz w:val="20"/>
              </w:rPr>
              <w:t>(</w:t>
            </w:r>
            <w:r>
              <w:rPr>
                <w:rFonts w:ascii="宋体" w:hAnsi="宋体" w:hint="eastAsia"/>
                <w:kern w:val="0"/>
                <w:sz w:val="20"/>
              </w:rPr>
              <w:t>十亿元人民币</w:t>
            </w:r>
            <w:r>
              <w:rPr>
                <w:kern w:val="0"/>
                <w:sz w:val="20"/>
              </w:rPr>
              <w:t>)</w:t>
            </w:r>
          </w:p>
        </w:tc>
        <w:tc>
          <w:tcPr>
            <w:tcW w:w="100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国内生产总值比上年增长</w:t>
            </w:r>
          </w:p>
        </w:tc>
        <w:tc>
          <w:tcPr>
            <w:tcW w:w="106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负债率</w:t>
            </w:r>
          </w:p>
        </w:tc>
        <w:tc>
          <w:tcPr>
            <w:tcW w:w="126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外汇收入</w:t>
            </w:r>
            <w:r>
              <w:rPr>
                <w:kern w:val="0"/>
                <w:sz w:val="20"/>
              </w:rPr>
              <w:t>(</w:t>
            </w:r>
            <w:r>
              <w:rPr>
                <w:rFonts w:ascii="宋体" w:hAnsi="宋体" w:hint="eastAsia"/>
                <w:kern w:val="0"/>
                <w:sz w:val="20"/>
              </w:rPr>
              <w:t>十亿美元</w:t>
            </w:r>
            <w:r>
              <w:rPr>
                <w:kern w:val="0"/>
                <w:sz w:val="20"/>
              </w:rPr>
              <w:t>)</w:t>
            </w:r>
          </w:p>
        </w:tc>
        <w:tc>
          <w:tcPr>
            <w:tcW w:w="106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外汇收入比上年增长</w:t>
            </w:r>
          </w:p>
        </w:tc>
        <w:tc>
          <w:tcPr>
            <w:tcW w:w="1180" w:type="dxa"/>
            <w:tcBorders>
              <w:top w:val="single" w:sz="4" w:space="0" w:color="auto"/>
              <w:left w:val="nil"/>
              <w:bottom w:val="single" w:sz="4" w:space="0" w:color="auto"/>
              <w:right w:val="single" w:sz="4" w:space="0" w:color="auto"/>
            </w:tcBorders>
            <w:shd w:val="clear" w:color="auto" w:fill="auto"/>
            <w:vAlign w:val="center"/>
          </w:tcPr>
          <w:p w:rsidR="0017778C" w:rsidRDefault="001360CD">
            <w:pPr>
              <w:widowControl/>
              <w:jc w:val="center"/>
              <w:rPr>
                <w:kern w:val="0"/>
                <w:sz w:val="20"/>
              </w:rPr>
            </w:pPr>
            <w:r>
              <w:rPr>
                <w:rFonts w:ascii="宋体" w:hAnsi="宋体" w:hint="eastAsia"/>
                <w:kern w:val="0"/>
                <w:sz w:val="20"/>
              </w:rPr>
              <w:t>债务率</w:t>
            </w:r>
            <w:r>
              <w:rPr>
                <w:kern w:val="0"/>
                <w:sz w:val="20"/>
              </w:rPr>
              <w:t>(%)</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1985</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15.83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30.9%</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904.0</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13.5%</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5.1%</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28.3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56.0%</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1986</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21.48</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35.7%</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1030.9</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8.9%</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7.1%</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29.8</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5.4%</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72.1%</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1987</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30.20</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40.6%</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1210.2</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11.7%</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9.2%</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39.2</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31.5%</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77.1%</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1988</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40.00</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32.5%</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1510.1</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11.3%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9.8%</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45.9</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17.2%</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87.1%</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1989</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41.30</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3.3%</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1709.0</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4.2%</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9.1%</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47.8</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4.2%</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86.4%</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1990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52.55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27.2%</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1877.4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3.9%</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13.3%</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57.4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20.0%</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91.6%</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1991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60.56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15.2%</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2189.6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14.6%</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65.9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14.9%</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91.9%</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1992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69.32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14.5%</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2706.8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14.3%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14.1%</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78.8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19.6%</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87.9%</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1993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83.57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20.6%</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3552.4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13.9%</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13.5%</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86.6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9.8%</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96.5%</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1994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92.81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11.1%</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4846.0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13.1%</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16.4%</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118.9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37.4%</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78.0%</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1995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106.59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14.8%</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6113.0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11.0%</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14.5%</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147.2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23.8%</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72.4%</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1996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116.28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9.1%</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7157.2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9.9%</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13.5%</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171.7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16.6%</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67.7%</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1997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130.96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12.6%</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7942.9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9.2%</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13.6%</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207.2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20.7%</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63.2%</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1998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146.04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11.5%</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8488.4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7.8%</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14.2%</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207.4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0.1%</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70.4%</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1999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151.83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4.0%</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9018.8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7.6%</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13.9%</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221.0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6.5%</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68.7%</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2000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145.73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-4.0%</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9977.6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8.4%</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12.0%</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279.6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26.5%</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52.1%</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2001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203.30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rFonts w:hint="eastAsia"/>
                <w:kern w:val="0"/>
                <w:sz w:val="20"/>
              </w:rPr>
              <w:t>—</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11027.0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8.3%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15.2%</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299.4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7.1%</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67.9%</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2002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202.63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-0.3%</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12100.2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9.1%</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13.8%</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365.4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22.0%</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55.5%</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2003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219.36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8.3%</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13656.5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10.0%</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13.2%</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485.0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32.7%</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45.2%</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2004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262.99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19.9%</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16071.4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10.1%</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13.4%</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655.0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35.1%</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40.2%</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2005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296.54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12.8%</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18589.6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11.3%</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13.0%</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836.8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27.8%</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35.4%</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2006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338.59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14.2%</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21765.7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12.7%</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12.3%</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1061.7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26.9%</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31.9%</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2007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389.22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15.0%</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26801.9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14.2%</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11.0%</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1342.1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26.4%</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29.0%</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2008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390.16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0.2%</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31675.2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9.6%</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8.5%</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1581.7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17.9%</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24.7%</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2009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428.65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9.9%</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34562.9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9.2%</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8.4%</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1332.9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-15.7%</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32.2%</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2010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548.94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28.1%</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40890.3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10.6%</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9.0%</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1876.8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40.8%</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29.2%</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2011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695.00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26.6%</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48412.4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9.5%</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9.2%</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2086.6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11.2%</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33.3%</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2012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736.99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6.0%</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53412.3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7.7%</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8.6%</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2248.3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7.7%</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32.8%</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2013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863.17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17.1%</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58801.9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7.8%</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9.0%</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 xml:space="preserve">2425.0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7.9%</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widowControl/>
              <w:jc w:val="center"/>
              <w:rPr>
                <w:kern w:val="0"/>
                <w:sz w:val="20"/>
              </w:rPr>
            </w:pPr>
            <w:r>
              <w:rPr>
                <w:kern w:val="0"/>
                <w:sz w:val="20"/>
              </w:rPr>
              <w:t>35.6%</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28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t xml:space="preserve">2014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color w:val="000000"/>
                <w:sz w:val="20"/>
              </w:rPr>
            </w:pPr>
            <w:r>
              <w:rPr>
                <w:color w:val="000000"/>
                <w:sz w:val="20"/>
              </w:rPr>
              <w:t xml:space="preserve">1779.90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color w:val="000000" w:themeColor="text1"/>
                <w:sz w:val="20"/>
              </w:rPr>
            </w:pPr>
            <w:r>
              <w:rPr>
                <w:rFonts w:hint="eastAsia"/>
                <w:color w:val="000000" w:themeColor="text1"/>
                <w:sz w:val="20"/>
              </w:rPr>
              <w:t>—</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64356.3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7.4%</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17.0%</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color w:val="000000"/>
                <w:sz w:val="20"/>
              </w:rPr>
            </w:pPr>
            <w:r>
              <w:rPr>
                <w:color w:val="000000"/>
                <w:sz w:val="20"/>
              </w:rPr>
              <w:t xml:space="preserve">2545.1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5.0%</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69.9%</w:t>
            </w:r>
          </w:p>
        </w:tc>
        <w:tc>
          <w:tcPr>
            <w:tcW w:w="280" w:type="dxa"/>
            <w:tcBorders>
              <w:top w:val="nil"/>
              <w:left w:val="nil"/>
              <w:bottom w:val="nil"/>
              <w:right w:val="nil"/>
            </w:tcBorders>
            <w:shd w:val="clear" w:color="auto" w:fill="auto"/>
            <w:noWrap/>
            <w:vAlign w:val="center"/>
          </w:tcPr>
          <w:p w:rsidR="0017778C" w:rsidRDefault="0017778C">
            <w:pPr>
              <w:widowControl/>
              <w:jc w:val="left"/>
              <w:rPr>
                <w:rFonts w:ascii="宋体" w:hAnsi="宋体" w:cs="宋体"/>
                <w:kern w:val="0"/>
                <w:sz w:val="24"/>
                <w:szCs w:val="24"/>
              </w:rPr>
            </w:pPr>
          </w:p>
        </w:tc>
      </w:tr>
      <w:tr w:rsidR="0017778C">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t xml:space="preserve">2015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1382.98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-22.3%</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68885.8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7.0%</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12.5%</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2360.2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-7.3%</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58.6%</w:t>
            </w:r>
          </w:p>
        </w:tc>
        <w:tc>
          <w:tcPr>
            <w:tcW w:w="280" w:type="dxa"/>
            <w:tcBorders>
              <w:top w:val="nil"/>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t xml:space="preserve">2016 </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1415.80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2.4%</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74639.5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6.8%</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12.6%</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2197.9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-6.9%</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64.4%</w:t>
            </w:r>
          </w:p>
        </w:tc>
        <w:tc>
          <w:tcPr>
            <w:tcW w:w="280" w:type="dxa"/>
            <w:tcBorders>
              <w:top w:val="nil"/>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rFonts w:hint="eastAsia"/>
                <w:color w:val="000000"/>
                <w:kern w:val="0"/>
                <w:sz w:val="20"/>
              </w:rPr>
              <w:t>2017</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1757.96</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24.2%</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83203.6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6.9%</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14.3%</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2422.9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10.2%</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72.6%</w:t>
            </w:r>
          </w:p>
        </w:tc>
        <w:tc>
          <w:tcPr>
            <w:tcW w:w="280" w:type="dxa"/>
            <w:tcBorders>
              <w:top w:val="nil"/>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rFonts w:hint="eastAsia"/>
                <w:color w:val="000000"/>
                <w:kern w:val="0"/>
                <w:sz w:val="20"/>
              </w:rPr>
              <w:t>2018</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1982.75</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12.8%</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91928.1 </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6.7%</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14.3%</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2651.0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9.4%</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74.8%</w:t>
            </w:r>
          </w:p>
        </w:tc>
        <w:tc>
          <w:tcPr>
            <w:tcW w:w="280" w:type="dxa"/>
            <w:tcBorders>
              <w:top w:val="nil"/>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315"/>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rFonts w:hint="eastAsia"/>
                <w:color w:val="000000"/>
                <w:kern w:val="0"/>
                <w:sz w:val="20"/>
              </w:rPr>
              <w:t>2019</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2070.81</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4.4</w:t>
            </w:r>
            <w:r>
              <w:rPr>
                <w:sz w:val="20"/>
              </w:rPr>
              <w:t>%</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98651.5</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6.</w:t>
            </w:r>
            <w:r>
              <w:rPr>
                <w:rFonts w:hint="eastAsia"/>
                <w:sz w:val="20"/>
              </w:rPr>
              <w:t>0</w:t>
            </w:r>
            <w:r>
              <w:rPr>
                <w:sz w:val="20"/>
              </w:rPr>
              <w:t>%</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14.</w:t>
            </w:r>
            <w:r>
              <w:rPr>
                <w:rFonts w:hint="eastAsia"/>
                <w:sz w:val="20"/>
              </w:rPr>
              <w:t>5</w:t>
            </w:r>
            <w:r>
              <w:rPr>
                <w:sz w:val="20"/>
              </w:rPr>
              <w:t>%</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 xml:space="preserve">2643.4 </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-0.3%</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78.3</w:t>
            </w:r>
            <w:r>
              <w:rPr>
                <w:sz w:val="20"/>
              </w:rPr>
              <w:t>%</w:t>
            </w:r>
          </w:p>
        </w:tc>
        <w:tc>
          <w:tcPr>
            <w:tcW w:w="280" w:type="dxa"/>
            <w:tcBorders>
              <w:top w:val="nil"/>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179"/>
          <w:jc w:val="center"/>
        </w:trPr>
        <w:tc>
          <w:tcPr>
            <w:tcW w:w="760" w:type="dxa"/>
            <w:tcBorders>
              <w:top w:val="nil"/>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rFonts w:hint="eastAsia"/>
                <w:color w:val="000000"/>
                <w:kern w:val="0"/>
                <w:sz w:val="20"/>
              </w:rPr>
              <w:t>2020</w:t>
            </w:r>
          </w:p>
        </w:tc>
        <w:tc>
          <w:tcPr>
            <w:tcW w:w="11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2400.81</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15.9%</w:t>
            </w:r>
          </w:p>
        </w:tc>
        <w:tc>
          <w:tcPr>
            <w:tcW w:w="13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101</w:t>
            </w:r>
            <w:r>
              <w:rPr>
                <w:sz w:val="20"/>
              </w:rPr>
              <w:t>356.7</w:t>
            </w:r>
          </w:p>
        </w:tc>
        <w:tc>
          <w:tcPr>
            <w:tcW w:w="100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2.</w:t>
            </w:r>
            <w:r>
              <w:rPr>
                <w:sz w:val="20"/>
              </w:rPr>
              <w:t>2</w:t>
            </w:r>
            <w:r>
              <w:rPr>
                <w:rFonts w:hint="eastAsia"/>
                <w:sz w:val="20"/>
              </w:rPr>
              <w:t>%</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16.3%</w:t>
            </w:r>
          </w:p>
        </w:tc>
        <w:tc>
          <w:tcPr>
            <w:tcW w:w="12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2732.4</w:t>
            </w:r>
          </w:p>
        </w:tc>
        <w:tc>
          <w:tcPr>
            <w:tcW w:w="106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3.4%</w:t>
            </w:r>
          </w:p>
        </w:tc>
        <w:tc>
          <w:tcPr>
            <w:tcW w:w="1180" w:type="dxa"/>
            <w:tcBorders>
              <w:top w:val="nil"/>
              <w:left w:val="nil"/>
              <w:bottom w:val="single" w:sz="4" w:space="0" w:color="auto"/>
              <w:right w:val="single" w:sz="4" w:space="0" w:color="auto"/>
            </w:tcBorders>
            <w:shd w:val="clear" w:color="auto" w:fill="auto"/>
            <w:noWrap/>
            <w:vAlign w:val="center"/>
          </w:tcPr>
          <w:p w:rsidR="0017778C" w:rsidRDefault="001360CD">
            <w:pPr>
              <w:jc w:val="center"/>
              <w:rPr>
                <w:sz w:val="20"/>
              </w:rPr>
            </w:pPr>
            <w:r>
              <w:rPr>
                <w:rFonts w:hint="eastAsia"/>
                <w:sz w:val="20"/>
              </w:rPr>
              <w:t>87.9%</w:t>
            </w:r>
          </w:p>
        </w:tc>
        <w:tc>
          <w:tcPr>
            <w:tcW w:w="280" w:type="dxa"/>
            <w:vMerge w:val="restart"/>
            <w:tcBorders>
              <w:top w:val="nil"/>
              <w:left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146"/>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t>2021</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2746.56</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14.4%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114923.7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8.4%</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15.4%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3555.2</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kern w:val="0"/>
                <w:sz w:val="20"/>
                <w:lang/>
              </w:rPr>
              <w:t>30.1%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sz w:val="20"/>
              </w:rPr>
              <w:t>77.3%</w:t>
            </w:r>
          </w:p>
        </w:tc>
        <w:tc>
          <w:tcPr>
            <w:tcW w:w="280" w:type="dxa"/>
            <w:vMerge/>
            <w:tcBorders>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146"/>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lastRenderedPageBreak/>
              <w:t>2022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2452.76</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jc w:val="center"/>
              <w:rPr>
                <w:sz w:val="20"/>
              </w:rPr>
            </w:pPr>
            <w:r>
              <w:rPr>
                <w:sz w:val="20"/>
              </w:rPr>
              <w:t>-10.7%</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121020.7</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3.0%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13.6%</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3715.8</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4.5%</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66.0%</w:t>
            </w:r>
          </w:p>
        </w:tc>
        <w:tc>
          <w:tcPr>
            <w:tcW w:w="280" w:type="dxa"/>
            <w:tcBorders>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146"/>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t>2023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color w:val="000000"/>
                <w:kern w:val="0"/>
                <w:szCs w:val="21"/>
                <w:lang/>
              </w:rPr>
              <w:t xml:space="preserve">2447.54 </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sz w:val="20"/>
              </w:rPr>
            </w:pPr>
            <w:r>
              <w:rPr>
                <w:color w:val="000000"/>
                <w:kern w:val="0"/>
                <w:sz w:val="20"/>
                <w:lang/>
              </w:rPr>
              <w:t>-0.2%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 xml:space="preserve">129427.2 </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5.</w:t>
            </w:r>
            <w:r>
              <w:rPr>
                <w:kern w:val="0"/>
                <w:sz w:val="20"/>
                <w:lang/>
              </w:rPr>
              <w:t>4</w:t>
            </w:r>
            <w:r>
              <w:rPr>
                <w:kern w:val="0"/>
                <w:sz w:val="20"/>
                <w:lang/>
              </w:rPr>
              <w:t>%</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13.</w:t>
            </w:r>
            <w:r>
              <w:rPr>
                <w:kern w:val="0"/>
                <w:sz w:val="20"/>
                <w:lang/>
              </w:rPr>
              <w:t>3</w:t>
            </w:r>
            <w:r>
              <w:rPr>
                <w:kern w:val="0"/>
                <w:sz w:val="20"/>
                <w:lang/>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35</w:t>
            </w:r>
            <w:r>
              <w:rPr>
                <w:kern w:val="0"/>
                <w:sz w:val="20"/>
                <w:lang/>
              </w:rPr>
              <w:t>07.8</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-5.</w:t>
            </w:r>
            <w:r>
              <w:rPr>
                <w:kern w:val="0"/>
                <w:sz w:val="20"/>
                <w:lang/>
              </w:rPr>
              <w:t>6</w:t>
            </w:r>
            <w:r>
              <w:rPr>
                <w:kern w:val="0"/>
                <w:sz w:val="20"/>
                <w:lang/>
              </w:rPr>
              <w:t>%</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69.</w:t>
            </w:r>
            <w:r>
              <w:rPr>
                <w:kern w:val="0"/>
                <w:sz w:val="20"/>
                <w:lang/>
              </w:rPr>
              <w:t>8</w:t>
            </w:r>
            <w:bookmarkStart w:id="1" w:name="_GoBack"/>
            <w:bookmarkEnd w:id="1"/>
            <w:r>
              <w:rPr>
                <w:kern w:val="0"/>
                <w:sz w:val="20"/>
                <w:lang/>
              </w:rPr>
              <w:t>%</w:t>
            </w:r>
          </w:p>
        </w:tc>
        <w:tc>
          <w:tcPr>
            <w:tcW w:w="280" w:type="dxa"/>
            <w:tcBorders>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146"/>
          <w:jc w:val="center"/>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7778C" w:rsidRDefault="001360CD">
            <w:pPr>
              <w:widowControl/>
              <w:jc w:val="center"/>
              <w:rPr>
                <w:color w:val="000000"/>
                <w:kern w:val="0"/>
                <w:sz w:val="20"/>
              </w:rPr>
            </w:pPr>
            <w:r>
              <w:rPr>
                <w:color w:val="000000"/>
                <w:kern w:val="0"/>
                <w:sz w:val="20"/>
              </w:rPr>
              <w:t>2024</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color w:val="000000"/>
                <w:kern w:val="0"/>
                <w:szCs w:val="21"/>
                <w:lang/>
              </w:rPr>
            </w:pPr>
            <w:r>
              <w:rPr>
                <w:color w:val="000000"/>
                <w:kern w:val="0"/>
                <w:szCs w:val="21"/>
                <w:lang/>
              </w:rPr>
              <w:t>2419.8</w:t>
            </w:r>
            <w:r>
              <w:rPr>
                <w:color w:val="000000"/>
                <w:kern w:val="0"/>
                <w:szCs w:val="21"/>
                <w:lang/>
              </w:rPr>
              <w:t>4</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color w:val="000000"/>
                <w:kern w:val="0"/>
                <w:sz w:val="20"/>
                <w:lang/>
              </w:rPr>
            </w:pPr>
            <w:r>
              <w:rPr>
                <w:color w:val="000000"/>
                <w:kern w:val="0"/>
                <w:sz w:val="20"/>
                <w:lang/>
              </w:rPr>
              <w:t>-1.1%</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 xml:space="preserve">134908.4 </w:t>
            </w:r>
          </w:p>
        </w:tc>
        <w:tc>
          <w:tcPr>
            <w:tcW w:w="100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5.0%</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12.8%</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 xml:space="preserve">3793.0 </w:t>
            </w:r>
          </w:p>
        </w:tc>
        <w:tc>
          <w:tcPr>
            <w:tcW w:w="106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8.1%</w:t>
            </w:r>
          </w:p>
        </w:tc>
        <w:tc>
          <w:tcPr>
            <w:tcW w:w="1180" w:type="dxa"/>
            <w:tcBorders>
              <w:top w:val="single" w:sz="4" w:space="0" w:color="auto"/>
              <w:left w:val="nil"/>
              <w:bottom w:val="single" w:sz="4" w:space="0" w:color="auto"/>
              <w:right w:val="single" w:sz="4" w:space="0" w:color="auto"/>
            </w:tcBorders>
            <w:shd w:val="clear" w:color="auto" w:fill="auto"/>
            <w:noWrap/>
            <w:vAlign w:val="center"/>
          </w:tcPr>
          <w:p w:rsidR="0017778C" w:rsidRDefault="001360CD">
            <w:pPr>
              <w:widowControl/>
              <w:jc w:val="center"/>
              <w:textAlignment w:val="center"/>
              <w:rPr>
                <w:kern w:val="0"/>
                <w:sz w:val="20"/>
                <w:lang/>
              </w:rPr>
            </w:pPr>
            <w:r>
              <w:rPr>
                <w:kern w:val="0"/>
                <w:sz w:val="20"/>
                <w:lang/>
              </w:rPr>
              <w:t>63.8%</w:t>
            </w:r>
          </w:p>
        </w:tc>
        <w:tc>
          <w:tcPr>
            <w:tcW w:w="280" w:type="dxa"/>
            <w:tcBorders>
              <w:left w:val="nil"/>
              <w:bottom w:val="nil"/>
              <w:right w:val="nil"/>
            </w:tcBorders>
            <w:shd w:val="clear" w:color="auto" w:fill="auto"/>
            <w:noWrap/>
            <w:vAlign w:val="center"/>
          </w:tcPr>
          <w:p w:rsidR="0017778C" w:rsidRDefault="0017778C">
            <w:pPr>
              <w:widowControl/>
              <w:jc w:val="left"/>
              <w:rPr>
                <w:color w:val="FF0000"/>
                <w:kern w:val="0"/>
                <w:sz w:val="24"/>
                <w:szCs w:val="24"/>
              </w:rPr>
            </w:pPr>
          </w:p>
        </w:tc>
      </w:tr>
      <w:tr w:rsidR="0017778C">
        <w:trPr>
          <w:trHeight w:val="765"/>
          <w:jc w:val="center"/>
        </w:trPr>
        <w:tc>
          <w:tcPr>
            <w:tcW w:w="9840" w:type="dxa"/>
            <w:gridSpan w:val="9"/>
            <w:tcBorders>
              <w:top w:val="nil"/>
              <w:left w:val="nil"/>
              <w:bottom w:val="nil"/>
              <w:right w:val="nil"/>
            </w:tcBorders>
            <w:shd w:val="clear" w:color="auto" w:fill="auto"/>
            <w:vAlign w:val="center"/>
          </w:tcPr>
          <w:p w:rsidR="0017778C" w:rsidRDefault="001360CD">
            <w:pPr>
              <w:widowControl/>
              <w:jc w:val="left"/>
              <w:rPr>
                <w:kern w:val="0"/>
                <w:sz w:val="20"/>
              </w:rPr>
            </w:pPr>
            <w:r>
              <w:rPr>
                <w:rFonts w:ascii="宋体" w:hAnsi="宋体" w:hint="eastAsia"/>
                <w:kern w:val="0"/>
                <w:sz w:val="20"/>
              </w:rPr>
              <w:t>注：</w:t>
            </w:r>
            <w:r>
              <w:rPr>
                <w:kern w:val="0"/>
                <w:sz w:val="20"/>
              </w:rPr>
              <w:t>1.</w:t>
            </w:r>
            <w:r>
              <w:rPr>
                <w:rFonts w:ascii="宋体" w:hAnsi="宋体" w:hint="eastAsia"/>
                <w:kern w:val="0"/>
                <w:sz w:val="20"/>
              </w:rPr>
              <w:t>自</w:t>
            </w:r>
            <w:r>
              <w:rPr>
                <w:kern w:val="0"/>
                <w:sz w:val="20"/>
              </w:rPr>
              <w:t>1998</w:t>
            </w:r>
            <w:r>
              <w:rPr>
                <w:rFonts w:ascii="宋体" w:hAnsi="宋体" w:hint="eastAsia"/>
                <w:kern w:val="0"/>
                <w:sz w:val="20"/>
              </w:rPr>
              <w:t>年起，本表将原使用的</w:t>
            </w:r>
            <w:r>
              <w:rPr>
                <w:kern w:val="0"/>
                <w:sz w:val="20"/>
              </w:rPr>
              <w:t>“</w:t>
            </w:r>
            <w:r>
              <w:rPr>
                <w:rFonts w:ascii="宋体" w:hAnsi="宋体" w:hint="eastAsia"/>
                <w:kern w:val="0"/>
                <w:sz w:val="20"/>
              </w:rPr>
              <w:t>国民生产总值</w:t>
            </w:r>
            <w:r>
              <w:rPr>
                <w:kern w:val="0"/>
                <w:sz w:val="20"/>
              </w:rPr>
              <w:t>”</w:t>
            </w:r>
            <w:r>
              <w:rPr>
                <w:rFonts w:ascii="宋体" w:hAnsi="宋体" w:hint="eastAsia"/>
                <w:kern w:val="0"/>
                <w:sz w:val="20"/>
              </w:rPr>
              <w:t>数据调整为</w:t>
            </w:r>
            <w:r>
              <w:rPr>
                <w:kern w:val="0"/>
                <w:sz w:val="20"/>
              </w:rPr>
              <w:t>“</w:t>
            </w:r>
            <w:r>
              <w:rPr>
                <w:rFonts w:ascii="宋体" w:hAnsi="宋体" w:hint="eastAsia"/>
                <w:kern w:val="0"/>
                <w:sz w:val="20"/>
              </w:rPr>
              <w:t>国内生产总值</w:t>
            </w:r>
            <w:r>
              <w:rPr>
                <w:kern w:val="0"/>
                <w:sz w:val="20"/>
              </w:rPr>
              <w:t>”</w:t>
            </w:r>
            <w:r>
              <w:rPr>
                <w:rFonts w:ascii="宋体" w:hAnsi="宋体" w:hint="eastAsia"/>
                <w:kern w:val="0"/>
                <w:sz w:val="20"/>
              </w:rPr>
              <w:t>数据，以前年份数据均按《中国统计提要</w:t>
            </w:r>
            <w:r>
              <w:rPr>
                <w:kern w:val="0"/>
                <w:sz w:val="20"/>
              </w:rPr>
              <w:t>1998</w:t>
            </w:r>
            <w:r>
              <w:rPr>
                <w:rFonts w:ascii="宋体" w:hAnsi="宋体" w:hint="eastAsia"/>
                <w:kern w:val="0"/>
                <w:sz w:val="20"/>
              </w:rPr>
              <w:t>》中公布数据进行了调整。国内生产总值及其增长数据均为国家统计局最新修正数据。</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r w:rsidR="0017778C">
        <w:trPr>
          <w:trHeight w:val="525"/>
          <w:jc w:val="center"/>
        </w:trPr>
        <w:tc>
          <w:tcPr>
            <w:tcW w:w="9840" w:type="dxa"/>
            <w:gridSpan w:val="9"/>
            <w:tcBorders>
              <w:top w:val="nil"/>
              <w:left w:val="nil"/>
              <w:bottom w:val="nil"/>
              <w:right w:val="nil"/>
            </w:tcBorders>
            <w:shd w:val="clear" w:color="auto" w:fill="auto"/>
            <w:vAlign w:val="center"/>
          </w:tcPr>
          <w:p w:rsidR="0017778C" w:rsidRDefault="001360CD">
            <w:pPr>
              <w:widowControl/>
              <w:jc w:val="left"/>
              <w:rPr>
                <w:kern w:val="0"/>
                <w:sz w:val="20"/>
              </w:rPr>
            </w:pPr>
            <w:r>
              <w:rPr>
                <w:kern w:val="0"/>
                <w:sz w:val="20"/>
              </w:rPr>
              <w:t xml:space="preserve">    2.</w:t>
            </w:r>
            <w:r>
              <w:rPr>
                <w:rFonts w:ascii="宋体" w:hAnsi="宋体" w:hint="eastAsia"/>
                <w:kern w:val="0"/>
                <w:sz w:val="20"/>
              </w:rPr>
              <w:t>负债率是指年末外债余额与当年国内生产总值的比率。计算负债率时将国内生产总值按国家外汇管理局公布的年平均交易中间价折算为美元。</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r w:rsidR="0017778C">
        <w:trPr>
          <w:trHeight w:val="540"/>
          <w:jc w:val="center"/>
        </w:trPr>
        <w:tc>
          <w:tcPr>
            <w:tcW w:w="9840" w:type="dxa"/>
            <w:gridSpan w:val="9"/>
            <w:tcBorders>
              <w:top w:val="nil"/>
              <w:left w:val="nil"/>
              <w:bottom w:val="nil"/>
              <w:right w:val="nil"/>
            </w:tcBorders>
            <w:shd w:val="clear" w:color="auto" w:fill="auto"/>
            <w:vAlign w:val="center"/>
          </w:tcPr>
          <w:p w:rsidR="0017778C" w:rsidRDefault="001360CD">
            <w:pPr>
              <w:widowControl/>
              <w:jc w:val="left"/>
              <w:rPr>
                <w:kern w:val="0"/>
                <w:sz w:val="20"/>
              </w:rPr>
            </w:pPr>
            <w:r>
              <w:rPr>
                <w:kern w:val="0"/>
                <w:sz w:val="20"/>
              </w:rPr>
              <w:t xml:space="preserve">    3.</w:t>
            </w:r>
            <w:r>
              <w:rPr>
                <w:rFonts w:ascii="宋体" w:hAnsi="宋体" w:hint="eastAsia"/>
                <w:kern w:val="0"/>
                <w:sz w:val="20"/>
              </w:rPr>
              <w:t>自</w:t>
            </w:r>
            <w:r>
              <w:rPr>
                <w:kern w:val="0"/>
                <w:sz w:val="20"/>
              </w:rPr>
              <w:t>1998</w:t>
            </w:r>
            <w:r>
              <w:rPr>
                <w:rFonts w:ascii="宋体" w:hAnsi="宋体" w:hint="eastAsia"/>
                <w:kern w:val="0"/>
                <w:sz w:val="20"/>
              </w:rPr>
              <w:t>年起，本表中的外汇收入指国际收支口径的货物与服务贸易出口收入，以前年份的数据均按此国际规范口径进行了调整，据此计算的债务率也进行了相应的调整。</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r w:rsidR="0017778C">
        <w:trPr>
          <w:trHeight w:val="283"/>
          <w:jc w:val="center"/>
        </w:trPr>
        <w:tc>
          <w:tcPr>
            <w:tcW w:w="9840" w:type="dxa"/>
            <w:gridSpan w:val="9"/>
            <w:tcBorders>
              <w:top w:val="nil"/>
              <w:left w:val="nil"/>
              <w:bottom w:val="nil"/>
              <w:right w:val="nil"/>
            </w:tcBorders>
            <w:shd w:val="clear" w:color="auto" w:fill="auto"/>
            <w:vAlign w:val="center"/>
          </w:tcPr>
          <w:p w:rsidR="0017778C" w:rsidRDefault="001360CD">
            <w:pPr>
              <w:widowControl/>
              <w:jc w:val="left"/>
              <w:rPr>
                <w:kern w:val="0"/>
                <w:sz w:val="20"/>
              </w:rPr>
            </w:pPr>
            <w:r>
              <w:rPr>
                <w:kern w:val="0"/>
                <w:sz w:val="20"/>
              </w:rPr>
              <w:t xml:space="preserve">    4. </w:t>
            </w:r>
            <w:r>
              <w:rPr>
                <w:rFonts w:ascii="宋体" w:hAnsi="宋体" w:hint="eastAsia"/>
                <w:kern w:val="0"/>
                <w:sz w:val="20"/>
              </w:rPr>
              <w:t>债务率是指年末外债余额与当年国际收支统计口径的货物与服务贸易出口收入的比率。</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r w:rsidR="0017778C">
        <w:trPr>
          <w:trHeight w:val="570"/>
          <w:jc w:val="center"/>
        </w:trPr>
        <w:tc>
          <w:tcPr>
            <w:tcW w:w="9840" w:type="dxa"/>
            <w:gridSpan w:val="9"/>
            <w:tcBorders>
              <w:top w:val="nil"/>
              <w:left w:val="nil"/>
              <w:bottom w:val="nil"/>
              <w:right w:val="nil"/>
            </w:tcBorders>
            <w:shd w:val="clear" w:color="auto" w:fill="auto"/>
            <w:vAlign w:val="center"/>
          </w:tcPr>
          <w:p w:rsidR="0017778C" w:rsidRDefault="001360CD">
            <w:pPr>
              <w:widowControl/>
              <w:jc w:val="left"/>
              <w:rPr>
                <w:kern w:val="0"/>
                <w:sz w:val="20"/>
              </w:rPr>
            </w:pPr>
            <w:r>
              <w:rPr>
                <w:kern w:val="0"/>
                <w:sz w:val="20"/>
              </w:rPr>
              <w:t xml:space="preserve">    5. 2001</w:t>
            </w:r>
            <w:r>
              <w:rPr>
                <w:rFonts w:ascii="宋体" w:hAnsi="宋体" w:hint="eastAsia"/>
                <w:kern w:val="0"/>
                <w:sz w:val="20"/>
              </w:rPr>
              <w:t>年，我国按照当时的国际标准对原外债口径进行了调整，由于调整后的外债数据与</w:t>
            </w:r>
            <w:r>
              <w:rPr>
                <w:kern w:val="0"/>
                <w:sz w:val="20"/>
              </w:rPr>
              <w:t>2000</w:t>
            </w:r>
            <w:r>
              <w:rPr>
                <w:rFonts w:ascii="宋体" w:hAnsi="宋体" w:hint="eastAsia"/>
                <w:kern w:val="0"/>
                <w:sz w:val="20"/>
              </w:rPr>
              <w:t>年及以前年度的外债数据不具可比性，故未计算上表中</w:t>
            </w:r>
            <w:r>
              <w:rPr>
                <w:kern w:val="0"/>
                <w:sz w:val="20"/>
              </w:rPr>
              <w:t>2001</w:t>
            </w:r>
            <w:r>
              <w:rPr>
                <w:rFonts w:ascii="宋体" w:hAnsi="宋体" w:hint="eastAsia"/>
                <w:kern w:val="0"/>
                <w:sz w:val="20"/>
              </w:rPr>
              <w:t>年</w:t>
            </w:r>
            <w:r>
              <w:rPr>
                <w:kern w:val="0"/>
                <w:sz w:val="20"/>
              </w:rPr>
              <w:t>“</w:t>
            </w:r>
            <w:r>
              <w:rPr>
                <w:rFonts w:ascii="宋体" w:hAnsi="宋体" w:hint="eastAsia"/>
                <w:kern w:val="0"/>
                <w:sz w:val="20"/>
              </w:rPr>
              <w:t>外债余额比上年增长</w:t>
            </w:r>
            <w:r>
              <w:rPr>
                <w:kern w:val="0"/>
                <w:sz w:val="20"/>
              </w:rPr>
              <w:t>”</w:t>
            </w:r>
            <w:r>
              <w:rPr>
                <w:rFonts w:ascii="宋体" w:hAnsi="宋体" w:hint="eastAsia"/>
                <w:kern w:val="0"/>
                <w:sz w:val="20"/>
              </w:rPr>
              <w:t>项。</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r w:rsidR="0017778C">
        <w:trPr>
          <w:trHeight w:val="1560"/>
          <w:jc w:val="center"/>
        </w:trPr>
        <w:tc>
          <w:tcPr>
            <w:tcW w:w="9840" w:type="dxa"/>
            <w:gridSpan w:val="9"/>
            <w:tcBorders>
              <w:top w:val="nil"/>
              <w:left w:val="nil"/>
              <w:bottom w:val="nil"/>
              <w:right w:val="nil"/>
            </w:tcBorders>
            <w:shd w:val="clear" w:color="auto" w:fill="auto"/>
            <w:vAlign w:val="center"/>
          </w:tcPr>
          <w:p w:rsidR="0017778C" w:rsidRDefault="001360CD">
            <w:pPr>
              <w:widowControl/>
              <w:jc w:val="left"/>
              <w:rPr>
                <w:kern w:val="0"/>
                <w:sz w:val="20"/>
              </w:rPr>
            </w:pPr>
            <w:r>
              <w:rPr>
                <w:kern w:val="0"/>
                <w:sz w:val="20"/>
              </w:rPr>
              <w:t xml:space="preserve">    6. 2015</w:t>
            </w:r>
            <w:r>
              <w:rPr>
                <w:rFonts w:ascii="宋体" w:hAnsi="宋体" w:hint="eastAsia"/>
                <w:kern w:val="0"/>
                <w:sz w:val="20"/>
              </w:rPr>
              <w:t>年，我国按照国际货币基金组织数据公布特殊标准（</w:t>
            </w:r>
            <w:r>
              <w:rPr>
                <w:kern w:val="0"/>
                <w:sz w:val="20"/>
              </w:rPr>
              <w:t>SDDS)</w:t>
            </w:r>
            <w:r>
              <w:rPr>
                <w:rFonts w:ascii="宋体" w:hAnsi="宋体" w:hint="eastAsia"/>
                <w:kern w:val="0"/>
                <w:sz w:val="20"/>
              </w:rPr>
              <w:t>调整了外债统计口径并对外公布全口径外债数据，将人民币外债纳入统计。为保证数据的可比性，将</w:t>
            </w:r>
            <w:r>
              <w:rPr>
                <w:kern w:val="0"/>
                <w:sz w:val="20"/>
              </w:rPr>
              <w:t>2014</w:t>
            </w:r>
            <w:r>
              <w:rPr>
                <w:rFonts w:ascii="宋体" w:hAnsi="宋体" w:hint="eastAsia"/>
                <w:kern w:val="0"/>
                <w:sz w:val="20"/>
              </w:rPr>
              <w:t>年末外债数据相应调整为全口径外债数据，由于全口径外债数据与此前外债数据（原口径为外币外债数据）不具可比性，故未计算上表中</w:t>
            </w:r>
            <w:r>
              <w:rPr>
                <w:kern w:val="0"/>
                <w:sz w:val="20"/>
              </w:rPr>
              <w:t>2014</w:t>
            </w:r>
            <w:r>
              <w:rPr>
                <w:rFonts w:ascii="宋体" w:hAnsi="宋体" w:hint="eastAsia"/>
                <w:kern w:val="0"/>
                <w:sz w:val="20"/>
              </w:rPr>
              <w:t>年</w:t>
            </w:r>
            <w:r>
              <w:rPr>
                <w:kern w:val="0"/>
                <w:sz w:val="20"/>
              </w:rPr>
              <w:t>“</w:t>
            </w:r>
            <w:r>
              <w:rPr>
                <w:rFonts w:ascii="宋体" w:hAnsi="宋体" w:hint="eastAsia"/>
                <w:kern w:val="0"/>
                <w:sz w:val="20"/>
              </w:rPr>
              <w:t>外债余额比上年增长</w:t>
            </w:r>
            <w:r>
              <w:rPr>
                <w:kern w:val="0"/>
                <w:sz w:val="20"/>
              </w:rPr>
              <w:t>”</w:t>
            </w:r>
            <w:r>
              <w:rPr>
                <w:rFonts w:ascii="宋体" w:hAnsi="宋体" w:hint="eastAsia"/>
                <w:kern w:val="0"/>
                <w:sz w:val="20"/>
              </w:rPr>
              <w:t>项。</w:t>
            </w:r>
          </w:p>
        </w:tc>
        <w:tc>
          <w:tcPr>
            <w:tcW w:w="280" w:type="dxa"/>
            <w:tcBorders>
              <w:top w:val="nil"/>
              <w:left w:val="nil"/>
              <w:bottom w:val="nil"/>
              <w:right w:val="nil"/>
            </w:tcBorders>
            <w:shd w:val="clear" w:color="auto" w:fill="auto"/>
            <w:vAlign w:val="center"/>
          </w:tcPr>
          <w:p w:rsidR="0017778C" w:rsidRDefault="0017778C">
            <w:pPr>
              <w:widowControl/>
              <w:jc w:val="left"/>
              <w:rPr>
                <w:rFonts w:ascii="宋体" w:hAnsi="宋体" w:cs="宋体"/>
                <w:kern w:val="0"/>
                <w:sz w:val="24"/>
                <w:szCs w:val="24"/>
              </w:rPr>
            </w:pPr>
          </w:p>
        </w:tc>
      </w:tr>
    </w:tbl>
    <w:p w:rsidR="0017778C" w:rsidRPr="000175D2" w:rsidRDefault="001360CD">
      <w:pPr>
        <w:ind w:leftChars="-142" w:left="-298"/>
        <w:rPr>
          <w:kern w:val="0"/>
          <w:sz w:val="20"/>
        </w:rPr>
      </w:pPr>
      <w:r w:rsidRPr="000175D2">
        <w:rPr>
          <w:rFonts w:hint="eastAsia"/>
          <w:kern w:val="0"/>
          <w:sz w:val="20"/>
        </w:rPr>
        <w:t>7</w:t>
      </w:r>
      <w:r w:rsidRPr="000175D2">
        <w:rPr>
          <w:kern w:val="0"/>
          <w:sz w:val="20"/>
        </w:rPr>
        <w:t>.</w:t>
      </w:r>
      <w:r w:rsidRPr="000175D2">
        <w:rPr>
          <w:rFonts w:hint="eastAsia"/>
          <w:kern w:val="0"/>
          <w:sz w:val="20"/>
        </w:rPr>
        <w:t>自</w:t>
      </w:r>
      <w:r w:rsidRPr="000175D2">
        <w:rPr>
          <w:kern w:val="0"/>
          <w:sz w:val="20"/>
        </w:rPr>
        <w:t>201</w:t>
      </w:r>
      <w:r w:rsidRPr="000175D2">
        <w:rPr>
          <w:rFonts w:hint="eastAsia"/>
          <w:kern w:val="0"/>
          <w:sz w:val="20"/>
        </w:rPr>
        <w:t>6</w:t>
      </w:r>
      <w:r w:rsidRPr="000175D2">
        <w:rPr>
          <w:rFonts w:hint="eastAsia"/>
          <w:kern w:val="0"/>
          <w:sz w:val="20"/>
        </w:rPr>
        <w:t>年起，按照国际收支平衡表修正数据对本表中上一年数据进行相应调整。</w:t>
      </w:r>
    </w:p>
    <w:sectPr w:rsidR="0017778C" w:rsidRPr="000175D2" w:rsidSect="0017778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60CD" w:rsidRDefault="001360CD">
      <w:r>
        <w:separator/>
      </w:r>
    </w:p>
  </w:endnote>
  <w:endnote w:type="continuationSeparator" w:id="1">
    <w:p w:rsidR="001360CD" w:rsidRDefault="001360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78C" w:rsidRDefault="0017778C">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17778C" w:rsidRDefault="0017778C">
                <w:pPr>
                  <w:pStyle w:val="a4"/>
                </w:pPr>
                <w:r>
                  <w:fldChar w:fldCharType="begin"/>
                </w:r>
                <w:r w:rsidR="001360CD">
                  <w:instrText xml:space="preserve"> PAGE  \* MERGEFORMAT </w:instrText>
                </w:r>
                <w:r>
                  <w:fldChar w:fldCharType="separate"/>
                </w:r>
                <w:r w:rsidR="000175D2">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60CD" w:rsidRDefault="001360CD">
      <w:r>
        <w:separator/>
      </w:r>
    </w:p>
  </w:footnote>
  <w:footnote w:type="continuationSeparator" w:id="1">
    <w:p w:rsidR="001360CD" w:rsidRDefault="001360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78C" w:rsidRDefault="0017778C">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A1372"/>
    <w:rsid w:val="B89FADF9"/>
    <w:rsid w:val="E9F3553F"/>
    <w:rsid w:val="EF6B6BF2"/>
    <w:rsid w:val="EFF7F7BA"/>
    <w:rsid w:val="FDBE344A"/>
    <w:rsid w:val="FF7A637C"/>
    <w:rsid w:val="FFDF48A6"/>
    <w:rsid w:val="000175D2"/>
    <w:rsid w:val="00042301"/>
    <w:rsid w:val="00087E96"/>
    <w:rsid w:val="001360CD"/>
    <w:rsid w:val="0017778C"/>
    <w:rsid w:val="0040771E"/>
    <w:rsid w:val="00457140"/>
    <w:rsid w:val="004E00C8"/>
    <w:rsid w:val="00511024"/>
    <w:rsid w:val="00554AE6"/>
    <w:rsid w:val="0066428B"/>
    <w:rsid w:val="006A366B"/>
    <w:rsid w:val="006B41C7"/>
    <w:rsid w:val="006D11D1"/>
    <w:rsid w:val="00746E0A"/>
    <w:rsid w:val="00766F03"/>
    <w:rsid w:val="0077586F"/>
    <w:rsid w:val="0077761D"/>
    <w:rsid w:val="0085180A"/>
    <w:rsid w:val="00857026"/>
    <w:rsid w:val="008D7DAC"/>
    <w:rsid w:val="0092437A"/>
    <w:rsid w:val="00927CA0"/>
    <w:rsid w:val="00997C87"/>
    <w:rsid w:val="00A23E6A"/>
    <w:rsid w:val="00BF0B1C"/>
    <w:rsid w:val="00BF6F3A"/>
    <w:rsid w:val="00C1493B"/>
    <w:rsid w:val="00D9544E"/>
    <w:rsid w:val="00E67603"/>
    <w:rsid w:val="00EA1372"/>
    <w:rsid w:val="00F83E55"/>
    <w:rsid w:val="00FD2E0D"/>
    <w:rsid w:val="00FE10BE"/>
    <w:rsid w:val="1D2ECBE9"/>
    <w:rsid w:val="22771F90"/>
    <w:rsid w:val="2D73C430"/>
    <w:rsid w:val="313F652F"/>
    <w:rsid w:val="351B3581"/>
    <w:rsid w:val="35EF528C"/>
    <w:rsid w:val="4256FB72"/>
    <w:rsid w:val="5B4E6A82"/>
    <w:rsid w:val="77F95E2F"/>
    <w:rsid w:val="7D9FCBE9"/>
    <w:rsid w:val="7DFFDCD2"/>
    <w:rsid w:val="7FDE3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78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778C"/>
    <w:rPr>
      <w:sz w:val="18"/>
      <w:szCs w:val="18"/>
    </w:rPr>
  </w:style>
  <w:style w:type="paragraph" w:styleId="a4">
    <w:name w:val="footer"/>
    <w:basedOn w:val="a"/>
    <w:link w:val="Char0"/>
    <w:uiPriority w:val="99"/>
    <w:semiHidden/>
    <w:unhideWhenUsed/>
    <w:qFormat/>
    <w:rsid w:val="0017778C"/>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17778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17778C"/>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17778C"/>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7778C"/>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kylin</cp:lastModifiedBy>
  <cp:revision>16</cp:revision>
  <cp:lastPrinted>2022-03-24T10:48:00Z</cp:lastPrinted>
  <dcterms:created xsi:type="dcterms:W3CDTF">2020-04-03T22:26:00Z</dcterms:created>
  <dcterms:modified xsi:type="dcterms:W3CDTF">2025-03-28T08:56:00Z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