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38" w:rsidRDefault="00AE1B38" w:rsidP="00AE1B38">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省级分局和计划单列市分局办理的内保外贷担保履约形成对外债权登记</w:t>
      </w:r>
    </w:p>
    <w:p w:rsidR="00AE1B38" w:rsidRDefault="00AE1B38" w:rsidP="00AE1B38">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【000171109002】</w:t>
      </w:r>
    </w:p>
    <w:p w:rsidR="00AE1B38" w:rsidRDefault="00AE1B38" w:rsidP="00AE1B3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E1B38" w:rsidRDefault="00AE1B38" w:rsidP="00AE1B3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E1B38" w:rsidRDefault="00AE1B38" w:rsidP="00AE1B3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境内机构（不含银行业金融机构）对外债权核准【00017110900Y】</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E1B38" w:rsidRDefault="00AE1B38" w:rsidP="00AE1B3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省级分局和计划单列市分局办理的内保外贷担保履约形成对外债权登记【000171109002】</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E1B38" w:rsidRDefault="00AE1B38" w:rsidP="00AE1B38">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1.省级分局和计划单列市分局办理的内保外贷担保履约形成对外债权登记(00017110900201)</w:t>
      </w:r>
    </w:p>
    <w:p w:rsidR="00AE1B38" w:rsidRDefault="00AE1B38" w:rsidP="00AE1B38">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2.省级分局和计划单列市分局办理的内保外贷担保履约形成对外债权变更登记(00017110900202)</w:t>
      </w:r>
    </w:p>
    <w:p w:rsidR="00AE1B38" w:rsidRDefault="00AE1B38" w:rsidP="00AE1B38">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3.省级分局和计划单列市分局办理的内保外贷担保履约形成对外债权注销登记(00017110900203)</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E1B38" w:rsidRDefault="00AE1B38" w:rsidP="00AE1B3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（1）《中华人民共和国外汇管理条例》第二十条</w:t>
      </w:r>
    </w:p>
    <w:p w:rsidR="00AE1B38" w:rsidRDefault="00AE1B38" w:rsidP="00AE1B3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E1B38" w:rsidRDefault="00AE1B38" w:rsidP="00AE1B3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（1）《国家外汇管理局关于发布〈跨境担保外汇管理规定〉的通知》（汇发〔2014〕29号）第十五条</w:t>
      </w:r>
    </w:p>
    <w:p w:rsidR="00AE1B38" w:rsidRDefault="00AE1B38" w:rsidP="00AE1B3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w:t>
      </w:r>
    </w:p>
    <w:p w:rsidR="00AE1B38" w:rsidRDefault="00AE1B38" w:rsidP="00AE1B3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（3）《资本项目外汇业务指引（2024版）》（汇发[2024]12号）3.6</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E1B38" w:rsidRDefault="00AE1B38" w:rsidP="00AE1B3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内保外贷担保履约对外债权登记</w:t>
      </w:r>
    </w:p>
    <w:p w:rsidR="00AE1B38" w:rsidRDefault="00AE1B38" w:rsidP="00AE1B3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E1B38" w:rsidRDefault="00AE1B38" w:rsidP="00AE1B3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（1）省级分局和计划单列市分局办理的内保外贷担保履约形成对外债权登记</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内保外贷发生担保履约的，境内担保人或境内反担保人成为对外债权人。</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（2）省级分局和计划单列市分局办理的内保外贷担保履约形成</w:t>
      </w:r>
      <w:r>
        <w:rPr>
          <w:rFonts w:ascii="方正仿宋_GBK" w:eastAsia="方正仿宋_GBK" w:hAnsi="方正仿宋_GBK" w:cs="方正仿宋_GBK"/>
          <w:sz w:val="28"/>
          <w:szCs w:val="28"/>
        </w:rPr>
        <w:lastRenderedPageBreak/>
        <w:t>对外债权变更登记</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对外债权额度、变更或原协议发生变化（如利率调整、期限变更等）的。</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（3）省级分局和计划单列市分局办理的内保外贷担保履约形成对外债权注销登记</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对外债权到期（含展期到期）收回本息，或未到期但本息已回收完毕的。</w:t>
      </w:r>
    </w:p>
    <w:p w:rsidR="00AE1B38" w:rsidRDefault="00AE1B38" w:rsidP="00AE1B3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发布〈跨境担保外汇管理规定〉的通知》（汇发〔2014〕29号）第十五条债权人为非银行机构的，应在担保履约后15个工作日内到所在地外汇局办理对外债权登记，并按规定办理与对外债权相关的变更、注销手续。</w:t>
      </w:r>
    </w:p>
    <w:p w:rsidR="00AE1B38" w:rsidRDefault="00AE1B38" w:rsidP="00AE1B3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E1B38" w:rsidRDefault="00AE1B38" w:rsidP="00AE1B38">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AE1B38" w:rsidRDefault="00AE1B38" w:rsidP="00AE1B38">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五、申请材料</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（1）省级分局和计划单列市分局办理的内保外贷担保履约形成对外债权登记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加盖公章的书面申请（包括内保外贷签约登记办理情况、担保履约的原因、履约资金来源、境外债务人还款计划及未来还款资金来源等）原件1份。</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担保履约证明材料原件及加盖公章的复印件各1份（验原件，留存复印件）。</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（2）省级分局和计划单列市分局办理的内保外贷担保履约形成对外债权变更登记。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书面申请。</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变更后的内保外贷担保履约对外债权协议。</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（3）省级分局和计划单列市分局办理的内保外贷担保履约形成对外债权注销登记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书面申请。</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到期收回对外债权本息相关证明材料。</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因客观原因无法按期收回担保履约款本息（或有关债务豁免、债转股、债券转让等交易）的证明材料（如有）。</w:t>
      </w:r>
    </w:p>
    <w:p w:rsidR="00AE1B38" w:rsidRDefault="00AE1B38" w:rsidP="00AE1B3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（1）《国家外汇管理局行政许可实施办法》（国家外汇管理局公</w:t>
      </w:r>
      <w:r>
        <w:rPr>
          <w:rFonts w:ascii="方正仿宋_GBK" w:eastAsia="方正仿宋_GBK" w:hAnsi="方正仿宋_GBK" w:cs="方正仿宋_GBK" w:hint="eastAsia"/>
          <w:sz w:val="28"/>
          <w:szCs w:val="28"/>
        </w:rPr>
        <w:lastRenderedPageBreak/>
        <w:t>告2021年第1号）第八条……申请人为机构的，应出示统一社会信用代码证或营业执照原件，或加盖公章的上述证件复印件……。</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（2）《资本项目外汇业务指引（2024版）》（汇发[2024]12号）3.6审核材料：</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（1）内保外贷担保履约形成对外债权登记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①书面申请，包括内保外贷签约登记办理情况、担保履约的原因、履约资金来源、境外债务人还款计划及未来还款资金来源等。</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②担保履约证明材料。</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③营业执照。</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（2）内保外贷担保履约形成对外债权变更登记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①书面申请。</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②变更后的内保外贷担保履约对外债权协议。</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（3）内保外贷担保履约形成对外债权注销登记</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①书面申请。</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②到期收回对外债权本息相关证明材料。</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③因客观原因无法按期收回担保履约款本息（或有关债务豁免、债转股、债权转让等交易）的证明材料（如有）。</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（3）《国家外汇管理局关于发布〈跨境担保外汇管理规定〉的通知》（汇发〔2014〕29号）第十五条内保外贷业务发生担保履约的，成为对外债权人的境内担保人或反担保人应当按规定办理对外债权登记手续。</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E1B38" w:rsidRDefault="00AE1B38" w:rsidP="00AE1B3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（1）《国家外汇管理局行政许可实施办法》第十条外汇局收到行政许可申请后，应区分下列情况分别作出处理：</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）申请事项属于本局职责范围，但依法不需要取得行政许可的，应即时告知申请人不受理，出具不予受理行政许可通知书；</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）申请事项不属于本局职责范围，应即时作出不予受理的决定，出具不予受理行政许可通知书，并告知申请人向有关行政机关申请；</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sz w:val="28"/>
          <w:szCs w:val="28"/>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w:t>
      </w:r>
      <w:r>
        <w:rPr>
          <w:rFonts w:ascii="方正仿宋_GBK" w:eastAsia="方正仿宋_GBK" w:hAnsi="方正仿宋_GBK" w:cs="方正仿宋_GBK"/>
          <w:sz w:val="28"/>
          <w:szCs w:val="28"/>
        </w:rPr>
        <w:lastRenderedPageBreak/>
        <w:t>交全部且符合法定形式的补正材料的，应不予受理，出具不予受理行政许可通知书；</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四</w:t>
      </w:r>
      <w:r>
        <w:rPr>
          <w:rFonts w:ascii="方正仿宋_GBK" w:eastAsia="方正仿宋_GBK" w:hAnsi="方正仿宋_GBK" w:cs="方正仿宋_GBK"/>
          <w:sz w:val="28"/>
          <w:szCs w:val="28"/>
        </w:rPr>
        <w:t>）申请事项属于本局职责范围，申请材料齐全、符合法定形式，或者申请人按照要求提交全部补正申请材料的，应受理行政许可申请，出具行政许可受理通知书。</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（2）《国家外汇管理局行政许可实施办法》第十四条外汇局对行政许可申请审查后，应区分下列情况分别作出处理：</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）申请符合法定条件、拟准予行政许可的，应出具准予行政许可的书面决定。准予行政许可的书面决定应载明名称、出具单位、被许可人姓名或名称、行政许可事项、颁发日期、有效期（如有）等；</w:t>
      </w:r>
    </w:p>
    <w:p w:rsidR="00AE1B38" w:rsidRDefault="00AE1B38" w:rsidP="00AE1B3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）申请不符合法定条件、拟不予行政许可的，应出具不予行政许可决定书，并说明不予行政许可的理由，告知申请人享有依法申请行政复议的权利。</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E1B38" w:rsidRDefault="00AE1B38" w:rsidP="00AE1B3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E1B38" w:rsidRDefault="00AE1B38" w:rsidP="00AE1B38">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r>
        <w:rPr>
          <w:rFonts w:ascii="方正仿宋_GBK" w:eastAsia="方正仿宋_GBK" w:hAnsi="方正仿宋_GBK" w:cs="方正仿宋_GBK"/>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E1B38" w:rsidRDefault="00AE1B38" w:rsidP="00AE1B38">
      <w:pPr>
        <w:spacing w:line="540" w:lineRule="exact"/>
        <w:ind w:firstLineChars="200" w:firstLine="562"/>
        <w:outlineLvl w:val="2"/>
        <w:rPr>
          <w:rFonts w:ascii="方正仿宋_GBK" w:eastAsia="方正仿宋_GBK" w:hAnsi="方正仿宋_GBK" w:cs="方正仿宋_GBK" w:hint="eastAsia"/>
          <w:b/>
          <w:bCs/>
          <w:color w:val="FF0000"/>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AE1B38" w:rsidRDefault="00AE1B38" w:rsidP="00AE1B3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AE1B38" w:rsidRDefault="00AE1B38" w:rsidP="00AE1B38">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E1B38" w:rsidRDefault="00AE1B38" w:rsidP="00AE1B38">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E1B38" w:rsidRDefault="00AE1B38" w:rsidP="00AE1B38">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E1B38" w:rsidRPr="00AE1B38" w:rsidRDefault="00AE1B38" w:rsidP="00AE1B38">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AE1B38" w:rsidRDefault="00AE1B38" w:rsidP="00AE1B3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E1B38" w:rsidRDefault="00AE1B38" w:rsidP="00AE1B3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E1B38" w:rsidRDefault="00AE1B38" w:rsidP="00AE1B38">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E1B38" w:rsidRDefault="00AE1B38" w:rsidP="00AE1B3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E1B38" w:rsidRDefault="00AE1B38" w:rsidP="00AE1B3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E1B38" w:rsidRDefault="00AE1B38" w:rsidP="00AE1B3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7F4042" w:rsidRDefault="00AE1B38" w:rsidP="00AE1B38">
      <w:r>
        <w:rPr>
          <w:rFonts w:ascii="Times New Roman" w:eastAsia="黑体" w:hAnsi="Times New Roman" w:hint="eastAsia"/>
          <w:sz w:val="28"/>
          <w:szCs w:val="28"/>
        </w:rPr>
        <w:t>十五、备注</w:t>
      </w:r>
    </w:p>
    <w:sectPr w:rsidR="007F40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42" w:rsidRDefault="007F4042" w:rsidP="00AE1B38">
      <w:r>
        <w:separator/>
      </w:r>
    </w:p>
  </w:endnote>
  <w:endnote w:type="continuationSeparator" w:id="1">
    <w:p w:rsidR="007F4042" w:rsidRDefault="007F4042" w:rsidP="00AE1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42" w:rsidRDefault="007F4042" w:rsidP="00AE1B38">
      <w:r>
        <w:separator/>
      </w:r>
    </w:p>
  </w:footnote>
  <w:footnote w:type="continuationSeparator" w:id="1">
    <w:p w:rsidR="007F4042" w:rsidRDefault="007F4042" w:rsidP="00AE1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38"/>
    <w:rsid w:val="007F4042"/>
    <w:rsid w:val="00AE1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3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B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1B38"/>
    <w:rPr>
      <w:sz w:val="18"/>
      <w:szCs w:val="18"/>
    </w:rPr>
  </w:style>
  <w:style w:type="paragraph" w:styleId="a4">
    <w:name w:val="footer"/>
    <w:basedOn w:val="a"/>
    <w:link w:val="Char0"/>
    <w:uiPriority w:val="99"/>
    <w:semiHidden/>
    <w:unhideWhenUsed/>
    <w:rsid w:val="00AE1B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1B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2</cp:revision>
  <dcterms:created xsi:type="dcterms:W3CDTF">2024-05-16T11:30:00Z</dcterms:created>
  <dcterms:modified xsi:type="dcterms:W3CDTF">2024-05-16T11:33:00Z</dcterms:modified>
</cp:coreProperties>
</file>