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71" w:rsidRDefault="00061171" w:rsidP="0006117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省级分局和计划单列市分局办理的企业经常项目资金集中和轧差结算收支业务登记</w:t>
      </w:r>
    </w:p>
    <w:p w:rsidR="00061171" w:rsidRDefault="00061171" w:rsidP="00061171">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【000171102004】</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61171" w:rsidRDefault="00061171" w:rsidP="0006117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61171" w:rsidRDefault="00061171" w:rsidP="0006117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省级分局和计划单列市分局办理的企业经常项目资金集中和轧差结算收支业务登记【000171102004】</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61171" w:rsidRDefault="00061171" w:rsidP="0006117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1.省级分局和计划单列市分局办理的经常项目资金集中和轧差结算收支业务变更(00017110200401)</w:t>
      </w:r>
    </w:p>
    <w:p w:rsidR="00061171" w:rsidRDefault="00061171" w:rsidP="0006117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2.省级分局和计划单列市分局办理的经常项目资金集中和轧差结算收支业务新办(00017110200402)</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61171" w:rsidRDefault="00061171" w:rsidP="0006117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61171" w:rsidRDefault="00061171" w:rsidP="0006117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（1）《经常项目外汇业务指引（2020年版）》（汇发〔2020〕14号文印发）第一百四十三条</w:t>
      </w:r>
    </w:p>
    <w:p w:rsidR="00061171" w:rsidRDefault="00061171" w:rsidP="0006117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（2）《跨国公司跨境资金集中运营管理规定》（汇发〔2019〕7号文印发）第五条</w:t>
      </w:r>
    </w:p>
    <w:p w:rsidR="00061171" w:rsidRDefault="00061171" w:rsidP="0006117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w:t>
      </w:r>
      <w:r>
        <w:rPr>
          <w:rFonts w:ascii="方正仿宋_GBK" w:eastAsia="方正仿宋_GBK" w:hAnsi="方正仿宋_GBK" w:cs="方正仿宋_GBK"/>
          <w:sz w:val="28"/>
          <w:szCs w:val="28"/>
        </w:rPr>
        <w:lastRenderedPageBreak/>
        <w:t>告2021年第1号）</w:t>
      </w:r>
    </w:p>
    <w:p w:rsidR="00061171" w:rsidRDefault="00061171" w:rsidP="0006117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（4）《跨国公司跨境资金集中运营管理规定》（汇发〔2019〕7号文印发）（汇发〔2019〕7号文印发）第七条</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061171" w:rsidRDefault="00061171" w:rsidP="0006117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61171" w:rsidRDefault="00061171" w:rsidP="0006117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061171" w:rsidRDefault="00061171" w:rsidP="0006117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省级分局和计划单列市分局办理的经常项目资金收付和轧差结算收支业务新办</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办理经常项目资金集中收付和轧差结算收支业务的申请主体为跨国公司主办企业，且需满足以下要求：</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具备真实业务需求；</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具有完善的跨境资金管理架构、内控制度；</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建立相应的内部管理电子系统；</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企业上年度本外币国际收支规模超过1亿美元，自由贸易试验区企业上年度本外币国际收支规模超过5000万美元（参加跨境资金集中运营业务的境内成员企业合并计算）；</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近三年无重大外汇违法违规行为（成立不满三年的企业，自成立之日起无重大外汇违规行为）；</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主办企业和境内成员企业如为贸易外汇收支名录内企业，货物贸易分类结果应为A类。</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省级分局和计划单列市分局办理的经常项目资金集中和轧差结算收支业务变更</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跨国公司跨境资金集中运营业务办理期间，合作银行、主办企业、成员企业、业务种类等发生变更的跨国公司主办企业。</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汇发〔2019〕7号文印发）第五条满足以下条件的跨国公司,可根据经营需要选择一家境内企业作为主办企业集中运营管理境内外成员企业资金,开展集中外债额度、集中境外放款额度、经常项目资金集中收付和轧差结算中的一项或多项业务:</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 1 亿美元（参加跨境资</w:t>
      </w:r>
      <w:r>
        <w:rPr>
          <w:rFonts w:ascii="方正仿宋_GBK" w:eastAsia="方正仿宋_GBK" w:hAnsi="方正仿宋_GBK" w:cs="方正仿宋_GBK"/>
          <w:sz w:val="28"/>
          <w:szCs w:val="28"/>
        </w:rPr>
        <w:lastRenderedPageBreak/>
        <w:t>金集中运营业务的境内成员企业合并计算）;</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 A 类……。</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文印发）第十条跨国公司跨境资金集中运营业务办理期间，合作银行、主办企业、成员企业、业务种类等发生变更的，主办企业应提前一个月通过所在地外汇局向分局变更备案。</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61171" w:rsidRPr="004641CD" w:rsidRDefault="00061171" w:rsidP="004641C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061171" w:rsidRDefault="00061171" w:rsidP="0006117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省级分局和计划单列市分局办理的经常项目资金集中和轧差结算收支业务新办</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加盖公章的备案申请书原件1份。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加盖主办企业公章的主办企业及境内成员企业营业执照（统一社会信用代码证）复印件1份。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金融业务许可证及经营范围批准文件原件或加盖公章的复印件1份。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省级分局和计划单列市分局办理的经常项目资金集中和轧差结算收支业务变更</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申请书1份。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主办企业及境内成员企业营业执照（统一社会信用代码证）原件或加盖公章的复印件1份。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金融业务许可证及经营范围批准文件原件或加盖公章的复印件1份。</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跨国公司跨境资金集中运营管理规定》（汇发〔2019〕7号）第七条跨国公司开展跨境资金集中运营业务，应通过主办企业所在地国家外汇管理局分支局（以下简称所在地外汇局）向所属外汇分局、管理部（以下简称分局）备案，提交以下材料：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（1）基本材料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备案申请书（包括跨国公司及主办企业基本情况、拟开展的业务种类、成员企业名单、主办企业及成员企业股权结构情况、拟选择的合作银行情况等）；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跨国公司对主办企业开展跨境资金集中运营业务的授权书；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主办企业与合作银行共同签署的《跨国公司跨境资金集中运营业务办理确认书》；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境外成员企业注册文件（非中文的同时提供中文翻译件）；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金融业务许可证及经营范围批准文件（仅主办企业为财务公司的需提供）。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（2）专项材料 </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经常项目资金集中收付和轧差净额结算。主办企业申请办理经常项目资金集中收付和轧差净额结算备案时，应在备案申请书中列表说明参与经常项目资金集中收付和轧差净额结算的境内成员企业名称、统一社会信用代码、注册地（加盖主办企业公章）。</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（2）《跨国公司跨境资金集中运营管理规定》（汇发〔2019〕7号）第十条合作银行变更的，应提交以下材料： </w:t>
      </w:r>
    </w:p>
    <w:p w:rsidR="00437065" w:rsidRDefault="00437065" w:rsidP="0043706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1.变更合作银行申请（包括拟选择的合作银行，原账户余额的处理方式等）； </w:t>
      </w:r>
    </w:p>
    <w:p w:rsidR="00437065" w:rsidRDefault="00437065" w:rsidP="0043706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2.加盖银行业务公章的原账户余额对账单； </w:t>
      </w:r>
    </w:p>
    <w:p w:rsidR="00437065" w:rsidRDefault="00437065" w:rsidP="0043706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3.主办企业与变更后合作银行签署的《跨国公司跨境资金集中运营业务办理确认书》。</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主办企业变更、成员企业新增或退出、外债和境外放款额度变更、业务种类变更的，……参照第七条提交材料……</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根据《国家外汇管理局关于取消有关外汇管理证明事项的通知》（汇发〔2019〕38号 ）附件 外汇管理取消证明事项目录第10条跨国公司跨境资金集中运营业务原备案通知书复印件已取消。</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61171" w:rsidRDefault="00061171" w:rsidP="0006117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61171" w:rsidRPr="004641CD" w:rsidRDefault="00061171" w:rsidP="004641C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办理行政许可的程序环节</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（四）申请事项属于本局职责范围，申请材料齐全、符合法定形式，或者申请人按照要求提交全部补正申请材料的，应受理行政许可申请，出具行政许可受理通知书。</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1171" w:rsidRDefault="00061171" w:rsidP="0006117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61171" w:rsidRDefault="00061171" w:rsidP="0006117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61171" w:rsidRDefault="00061171" w:rsidP="0006117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61171" w:rsidRDefault="00061171" w:rsidP="0006117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61171" w:rsidRDefault="00061171" w:rsidP="0006117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061171" w:rsidRDefault="00061171" w:rsidP="0006117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《跨国公司跨境资金集中运营业务办理确认书》</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61171" w:rsidRDefault="00061171" w:rsidP="0006117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61171" w:rsidRDefault="00061171" w:rsidP="0006117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61171" w:rsidRPr="004641CD" w:rsidRDefault="00061171" w:rsidP="004641C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61171" w:rsidRPr="004641CD" w:rsidRDefault="00061171" w:rsidP="004641C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1171" w:rsidRPr="004641CD" w:rsidRDefault="00061171"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61171" w:rsidRDefault="00061171" w:rsidP="0006117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061171" w:rsidRDefault="00061171" w:rsidP="0006117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061171" w:rsidRDefault="00061171" w:rsidP="0006117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Default="003D438A"/>
    <w:p w:rsidR="00B84F74" w:rsidRDefault="00B84F74"/>
    <w:p w:rsidR="00B84F74" w:rsidRDefault="00B84F74"/>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4641CD" w:rsidRDefault="004641CD"/>
    <w:p w:rsidR="00B84F74" w:rsidRDefault="00B84F74"/>
    <w:p w:rsidR="00B84F74" w:rsidRDefault="00B84F74" w:rsidP="00B84F7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省级分局和计划单列市分局办理的经常项目资</w:t>
      </w:r>
      <w:r>
        <w:rPr>
          <w:rFonts w:ascii="方正小标宋_GBK" w:eastAsia="方正小标宋_GBK" w:hAnsi="方正小标宋_GBK" w:cs="方正小标宋_GBK" w:hint="eastAsia"/>
          <w:sz w:val="40"/>
          <w:szCs w:val="40"/>
        </w:rPr>
        <w:lastRenderedPageBreak/>
        <w:t>金集中和轧差结算收支业务新办</w:t>
      </w:r>
    </w:p>
    <w:p w:rsidR="00B84F74" w:rsidRDefault="00B84F74" w:rsidP="00B84F7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【00017110200402】</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B84F74" w:rsidRDefault="00B84F74" w:rsidP="00B84F74">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经常项目特定收支业务核准【00017110200Y】</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B84F74" w:rsidRDefault="00B84F74" w:rsidP="00B84F7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省级分局和计划单列市分局办理的企业经常项目资金集中和轧差结算收支业务登记【000171102004】</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B84F74" w:rsidRDefault="00B84F74" w:rsidP="00B84F7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省级分局和计划单列市分局办理的经常项目资金集中和轧差结算收支业务新办(00017110200402)</w:t>
      </w:r>
    </w:p>
    <w:p w:rsidR="00B84F74" w:rsidRDefault="00B84F74" w:rsidP="00B84F74">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B84F74" w:rsidRDefault="00B84F74" w:rsidP="00B84F7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B84F74" w:rsidRDefault="00B84F74" w:rsidP="00B84F7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B84F74" w:rsidRDefault="00B84F74" w:rsidP="00B84F7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（1）《经常项目外汇业务指引（2020年版）》（汇发〔2020〕14号文印发）第一百四十三条</w:t>
      </w:r>
    </w:p>
    <w:p w:rsidR="00B84F74" w:rsidRDefault="00B84F74" w:rsidP="00B84F7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（2）《跨国公司跨境资金集中运营管理规定》（汇发〔2019〕7号文印发）第五条</w:t>
      </w:r>
    </w:p>
    <w:p w:rsidR="00B84F74" w:rsidRDefault="00B84F74" w:rsidP="00B84F7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B84F74" w:rsidRDefault="00B84F74" w:rsidP="00B84F7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（4）《跨国公司跨境资金集中运营管理规定》（汇发〔2019〕7号文印发）第七条</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B84F74" w:rsidRDefault="00B84F74" w:rsidP="00B84F7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84F74" w:rsidRDefault="00B84F74" w:rsidP="00B84F74">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办理经常项目资金集中收付和轧差结算收支业务的申请主体为跨国公司主办企业，且需满足以下要求：</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具备真实业务需求；</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具有完善的跨境资金管理架构、内控制度；</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建立相应的内部管理电子系统；</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企业上年度本外币国际收支规模超过1亿美元，自由贸易试验区企业上年度本外币国际收支规模超过5000万美元（参加跨境资金集中运营业务的境内成员企业合并计算）；</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近三年无重大外汇违法违规行为（成立不满三年的企业，自成立之日起无重大外汇违规行为）；</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主办企业和境内成员企业如为贸易外汇收支名录内企业，货物贸易分类结果应为A类。</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汇发〔2019〕7号）第五条满足以下条件的跨国公司,可根据经营需要选择一家境内企业作为主办企业集中运营管理境内外成员企业资金,开展集中外债额度、集中境外放款额度、经常项目资金集中收付和轧差结算中的一项或多项业务:</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 1 亿美元（参加跨境资金集中运营业务的境内成员企业合并计算）;</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 A 类……。</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84F74" w:rsidRPr="004641CD" w:rsidRDefault="00B84F74" w:rsidP="004641C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B84F74" w:rsidRDefault="00B84F74" w:rsidP="00B84F7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加盖公章的备案申请书原件1份。</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跨国公司对主办企业开展跨境资金集中运营业务的授权书原件1份。</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加盖主办企业公章的主办企业及境内成员企业营业执照（统一社会信用代码证）复印件1份。</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金融业务许可证及经营范围批准文件原件或加盖公章的复印件1份。</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（1）《跨国公司跨境资金集中运营管理规定》（汇发〔2019〕7号文印发）第七条跨国公司开展跨境资金集中运营业务，应通过主办</w:t>
      </w:r>
      <w:r>
        <w:rPr>
          <w:rFonts w:ascii="方正仿宋_GBK" w:eastAsia="方正仿宋_GBK" w:hAnsi="方正仿宋_GBK" w:cs="方正仿宋_GBK" w:hint="eastAsia"/>
          <w:sz w:val="28"/>
          <w:szCs w:val="28"/>
        </w:rPr>
        <w:lastRenderedPageBreak/>
        <w:t xml:space="preserve">企业所在地国家外汇管理局分支局（以下简称所在地外汇局）向所属外汇分局、管理部（以下简称分局）备案，提交以下材料：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（1）基本材料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备案申请书（包括跨国公司及主办企业基本情况、拟开展的业务种类、成员企业名单、主办企业及成员企业股权结构情况、拟选择的合作银行情况等）；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跨国公司对主办企业开展跨境资金集中运营业务的授权书；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主办企业与合作银行共同签署的《跨国公司跨境资金集中运营业务办理确认书》；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境外成员企业注册文件（非中文的同时提供中文翻译件）；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金融业务许可证及经营范围批准文件（仅主办企业为财务公司的需提供）。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（2）专项材料 </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资金集中收付和轧差净额结算。主办企业申请办理经常项目资金集中收付和轧差净额结算备案时，应在备案申请书中列表说明参与经常项目资金集中收付和轧差净额结算的境内成员企业名称、统一社会信用代码、注册地（加盖主办企业公章）。</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84F74" w:rsidRDefault="00B84F74" w:rsidP="00B84F7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84F74" w:rsidRPr="004641CD" w:rsidRDefault="00B84F74" w:rsidP="004641C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申请材料存在文字笔误等可当场更正的错误的，应允许申请人当场更正，并告知其在修改处签字或盖章确认；</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84F74" w:rsidRDefault="00B84F74" w:rsidP="00B84F7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84F74" w:rsidRDefault="00B84F74" w:rsidP="00B84F7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B84F74" w:rsidRDefault="00B84F74" w:rsidP="00B84F7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84F74" w:rsidRDefault="00B84F74" w:rsidP="00B84F7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B84F74" w:rsidRDefault="00B84F74" w:rsidP="00B84F7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外汇局征求其他部门意见的时间计算在以上办理时限内；依法需</w:t>
      </w:r>
      <w:r>
        <w:rPr>
          <w:rFonts w:ascii="方正仿宋_GBK" w:eastAsia="方正仿宋_GBK" w:hAnsi="方正仿宋_GBK" w:cs="方正仿宋_GBK"/>
          <w:sz w:val="28"/>
          <w:szCs w:val="28"/>
        </w:rPr>
        <w:lastRenderedPageBreak/>
        <w:t>要听证、检验、检测、鉴定、专家评审等的时间，不计算在上述办理时限内。各级外汇局对行政许可办理时限具有对外承诺的，应按照其承诺的时限完成；对外承诺的时限应短于20个工作日。</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B84F74" w:rsidRDefault="00B84F74" w:rsidP="00B84F7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《跨国公司跨境资金集中运营业务办理确认书》</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84F74" w:rsidRDefault="00B84F74" w:rsidP="00B84F7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84F74" w:rsidRDefault="00B84F74" w:rsidP="00B84F7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84F74" w:rsidRPr="004641CD" w:rsidRDefault="00B84F74" w:rsidP="004641C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规定在数量限制条件下实施行政许可方式的依据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84F74" w:rsidRPr="004641CD" w:rsidRDefault="00B84F74" w:rsidP="004641C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84F74" w:rsidRPr="004641CD" w:rsidRDefault="00B84F74"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B84F74" w:rsidRDefault="00B84F74" w:rsidP="00B84F7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84F74" w:rsidRDefault="00B84F74" w:rsidP="00B84F7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B84F74" w:rsidRDefault="00B84F74" w:rsidP="00B84F7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B84F74" w:rsidRDefault="00B84F74" w:rsidP="00B84F74">
      <w:pPr>
        <w:spacing w:line="600" w:lineRule="exact"/>
        <w:ind w:firstLineChars="200" w:firstLine="560"/>
        <w:rPr>
          <w:rFonts w:ascii="方正仿宋_GBK" w:eastAsia="方正仿宋_GBK" w:hAnsi="方正仿宋_GBK" w:cs="方正仿宋_GBK"/>
          <w:sz w:val="28"/>
          <w:szCs w:val="28"/>
        </w:rPr>
      </w:pPr>
    </w:p>
    <w:p w:rsidR="00582B2E" w:rsidRDefault="00582B2E" w:rsidP="00B84F74">
      <w:pPr>
        <w:spacing w:line="600" w:lineRule="exact"/>
        <w:ind w:firstLineChars="200" w:firstLine="560"/>
        <w:rPr>
          <w:rFonts w:ascii="方正仿宋_GBK" w:eastAsia="方正仿宋_GBK" w:hAnsi="方正仿宋_GBK" w:cs="方正仿宋_GBK"/>
          <w:sz w:val="28"/>
          <w:szCs w:val="28"/>
        </w:rPr>
      </w:pPr>
    </w:p>
    <w:p w:rsidR="00582B2E" w:rsidRDefault="00582B2E" w:rsidP="00B84F74">
      <w:pPr>
        <w:spacing w:line="600" w:lineRule="exact"/>
        <w:ind w:firstLineChars="200" w:firstLine="560"/>
        <w:rPr>
          <w:rFonts w:ascii="方正仿宋_GBK" w:eastAsia="方正仿宋_GBK" w:hAnsi="方正仿宋_GBK" w:cs="方正仿宋_GBK"/>
          <w:sz w:val="28"/>
          <w:szCs w:val="28"/>
        </w:rPr>
      </w:pPr>
    </w:p>
    <w:p w:rsidR="001E5B50" w:rsidRDefault="001E5B50" w:rsidP="001E5B5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省级分局和计划单列市分局办理的经常项目资</w:t>
      </w:r>
      <w:r>
        <w:rPr>
          <w:rFonts w:ascii="方正小标宋_GBK" w:eastAsia="方正小标宋_GBK" w:hAnsi="方正小标宋_GBK" w:cs="方正小标宋_GBK" w:hint="eastAsia"/>
          <w:sz w:val="40"/>
          <w:szCs w:val="40"/>
        </w:rPr>
        <w:lastRenderedPageBreak/>
        <w:t>金集中和轧差结算收支业务变更</w:t>
      </w:r>
    </w:p>
    <w:p w:rsidR="001E5B50" w:rsidRDefault="001E5B50" w:rsidP="001E5B5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【00017110200401】</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1E5B50" w:rsidRDefault="001E5B50" w:rsidP="001E5B50">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经常项目特定收支业务核准【00017110200Y】</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1E5B50" w:rsidRDefault="001E5B50" w:rsidP="001E5B5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省级分局和计划单列市分局办理的企业经常项目资金集中和轧差结算收支业务登记【000171102004】</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1E5B50" w:rsidRDefault="001E5B50" w:rsidP="001E5B5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省级分局和计划单列市分局办理的经常项目资金集中和轧差结算收支业务变更(00017110200401)</w:t>
      </w:r>
    </w:p>
    <w:p w:rsidR="001E5B50" w:rsidRDefault="001E5B50" w:rsidP="001E5B50">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1E5B50" w:rsidRDefault="001E5B50" w:rsidP="001E5B5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1E5B50" w:rsidRDefault="001E5B50" w:rsidP="001E5B5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1E5B50" w:rsidRDefault="001E5B50" w:rsidP="001E5B5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（1）《经常项目外汇业务指引（2020年版）》（汇发〔2020〕14号文印发）第一百四十三条</w:t>
      </w:r>
    </w:p>
    <w:p w:rsidR="001E5B50" w:rsidRDefault="001E5B50" w:rsidP="001E5B5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（2）《跨国公司跨境资金集中运营管理规定》（汇发〔2019〕7号文印发）第五条</w:t>
      </w:r>
    </w:p>
    <w:p w:rsidR="001E5B50" w:rsidRDefault="001E5B50" w:rsidP="001E5B5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1E5B50" w:rsidRDefault="001E5B50" w:rsidP="001E5B5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（4）《跨国公司跨境资金集中运营管理规定》（汇发〔2019〕7号）第七条</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1E5B50" w:rsidRDefault="001E5B50" w:rsidP="001E5B5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E5B50" w:rsidRDefault="001E5B50" w:rsidP="001E5B50">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跨国公司跨境资金集中运营业务办理期间，合作银行、主办企业、成员企业、业务种类等发生变更的跨国公司主办企业。</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汇发〔2019〕7号）第十条跨国公司跨境资金集中运营业务办理期间，合作银行、主办企业、成员企业、业务种类等发生变更的，主办企业应提前一个月通过所在地外汇局向分局变更备案。</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1E5B50" w:rsidRPr="004641CD" w:rsidRDefault="001E5B50" w:rsidP="004641C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1E5B50" w:rsidRDefault="001E5B50" w:rsidP="001E5B5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申请书1份。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加盖银行业务公章的原账户余额对账单原件或加盖公章的复印件1份。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主办企业与变更后合作银行签署的《跨国公司跨境资金集中运营业务办理确认书》原件或加盖公章的复印件1份。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跨国公司对主办企业开展跨境资金集中运营业务的授权书原件或加盖公章的复印件1份。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主办企业与合作银行共同签署的《跨国公司跨境资金集中运营业务办理确认书》原件或加盖公章的复印件1份。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主办企业及境内成员企业营业执照（统一社会信用代码证）原件</w:t>
      </w:r>
      <w:r>
        <w:rPr>
          <w:rFonts w:ascii="方正仿宋_GBK" w:eastAsia="方正仿宋_GBK" w:hAnsi="方正仿宋_GBK" w:cs="方正仿宋_GBK" w:hint="eastAsia"/>
          <w:sz w:val="28"/>
          <w:szCs w:val="28"/>
        </w:rPr>
        <w:lastRenderedPageBreak/>
        <w:t>或加盖公章的复印件1份。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境外成员企业注册文件原件或加盖公章的复印件1份。</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金融业务许可证及经营范围批准文件原件或加盖公章的复印件1份。</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跨国公司跨境资金集中运营管理规定》（汇发〔2019〕7号文印发）第七条跨国公司开展跨境资金集中运营业务，应通过主办企业所在地国家外汇管理局分支局（以下简称所在地外汇局）向所属外汇分局、管理部（以下简称分局）备案，提交以下材料：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（1）基本材料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备案申请书（包括跨国公司及主办企业基本情况、拟开展的业务种类、成员企业名单、主办企业及成员企业股权结构情况、拟选择的合作银行情况等）；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跨国公司对主办企业开展跨境资金集中运营业务的授权书；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主办企业与合作银行共同签署的《跨国公司跨境资金集中运营业务办理确认书》；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境外成员企业注册文件（非中文的同时提供中文翻译件）；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金融业务许可证及经营范围批准文件（仅主办企业为财务公司的需提供）。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（2）专项材料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经常项目资金集中收付和轧差净额结算。主办企业申请办理经常</w:t>
      </w:r>
      <w:r>
        <w:rPr>
          <w:rFonts w:ascii="方正仿宋_GBK" w:eastAsia="方正仿宋_GBK" w:hAnsi="方正仿宋_GBK" w:cs="方正仿宋_GBK" w:hint="eastAsia"/>
          <w:sz w:val="28"/>
          <w:szCs w:val="28"/>
        </w:rPr>
        <w:lastRenderedPageBreak/>
        <w:t>项目资金集中收付和轧差净额结算备案时，应在备案申请书中列表说明参与经常项目资金集中收付和轧差净额结算的境内成员企业名称、统一社会信用代码、注册地（加盖主办企业公章）。</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（2）《跨国公司跨境资金集中运营管理规定》（汇发〔2019〕7号文印发）第十条……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合作银行变更的，应提交以下材料：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变更合作银行申请（包括拟选择的合作银行，原账户余额的处理方式等）；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加盖银行业务公章的原账户余额对账单； </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主办企业变更、成员企业新增或退出、外债和境外放款额度变更、业务种类变更的，……参照第七条提交材料……。</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根据《国家外汇管理局关于取消有关外汇管理证明事项的通知》（汇发〔2019〕38号 ）附件 外汇管理取消证明事项目录第10条跨国公司跨境资金集中运营业务原备案通知书复印件已取消。</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1E5B50" w:rsidRDefault="001E5B50" w:rsidP="001E5B5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E5B50" w:rsidRPr="004641CD" w:rsidRDefault="001E5B50" w:rsidP="004641C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办理行政许可的程序环节</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（四）申请事项属于本局职责范围，申请材料齐全、符合法定形式，或者申请人按照要求提交全部补正申请材料的，应受理行政许可申请，出具行政许可受理通知书。</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E5B50" w:rsidRDefault="001E5B50" w:rsidP="001E5B5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1E5B50" w:rsidRDefault="001E5B50" w:rsidP="001E5B5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1E5B50" w:rsidRDefault="001E5B50" w:rsidP="001E5B5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1E5B50" w:rsidRDefault="001E5B50" w:rsidP="001E5B5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各级外汇局对行政许可办理时限具有对外承诺的，应按照其承诺的时限完成；对外承诺的时限应短于20个工作日。</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1E5B50" w:rsidRDefault="001E5B50" w:rsidP="001E5B5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1E5B50" w:rsidRDefault="001E5B50" w:rsidP="001E5B5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《跨国公司跨境资金集中运营业务办理确认书》</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1E5B50" w:rsidRPr="004641CD" w:rsidRDefault="001E5B50"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1E5B50" w:rsidRPr="004641CD" w:rsidRDefault="001E5B50"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1E5B50" w:rsidRPr="004641CD" w:rsidRDefault="001E5B50"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Pr="004641CD" w:rsidRDefault="001E5B50"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1E5B50" w:rsidRPr="004641CD" w:rsidRDefault="001E5B50"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1E5B50" w:rsidRDefault="001E5B50" w:rsidP="001E5B5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1E5B50" w:rsidRDefault="001E5B50" w:rsidP="001E5B5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1E5B50" w:rsidRPr="004641CD" w:rsidRDefault="001E5B50" w:rsidP="004641C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1E5B50" w:rsidRPr="004641CD" w:rsidRDefault="001E5B50"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Default="001E5B50" w:rsidP="001E5B5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1E5B50" w:rsidRPr="004641CD" w:rsidRDefault="001E5B50" w:rsidP="004641C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w:t>
      </w:r>
      <w:r>
        <w:rPr>
          <w:rFonts w:ascii="Times New Roman" w:eastAsia="仿宋GB2312" w:hAnsi="Times New Roman" w:hint="eastAsia"/>
          <w:b/>
          <w:bCs/>
          <w:sz w:val="28"/>
          <w:szCs w:val="28"/>
        </w:rPr>
        <w:lastRenderedPageBreak/>
        <w:t>目的依据、规定年检项目收费标准的依据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Default="001E5B50" w:rsidP="001E5B5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E5B50" w:rsidRPr="004641CD" w:rsidRDefault="001E5B50" w:rsidP="004641C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4641C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1E5B50" w:rsidRDefault="001E5B50" w:rsidP="001E5B5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E5B50" w:rsidRDefault="001E5B50" w:rsidP="001E5B50">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1E5B50" w:rsidRDefault="001E5B50" w:rsidP="001E5B5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1E5B50" w:rsidRDefault="001E5B50" w:rsidP="001E5B5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B84F74" w:rsidRDefault="00B84F74" w:rsidP="00B84F74">
      <w:pPr>
        <w:spacing w:line="540" w:lineRule="exact"/>
        <w:outlineLvl w:val="1"/>
        <w:rPr>
          <w:rFonts w:ascii="Times New Roman" w:eastAsia="黑体" w:hAnsi="Times New Roman"/>
          <w:sz w:val="28"/>
          <w:szCs w:val="28"/>
        </w:rPr>
      </w:pPr>
    </w:p>
    <w:p w:rsidR="00B84F74" w:rsidRPr="00B84F74" w:rsidRDefault="00B84F74"/>
    <w:sectPr w:rsidR="00B84F74" w:rsidRPr="00B84F74"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55C" w:rsidRDefault="0071155C" w:rsidP="00B84F74">
      <w:r>
        <w:separator/>
      </w:r>
    </w:p>
  </w:endnote>
  <w:endnote w:type="continuationSeparator" w:id="1">
    <w:p w:rsidR="0071155C" w:rsidRDefault="0071155C" w:rsidP="00B84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55C" w:rsidRDefault="0071155C" w:rsidP="00B84F74">
      <w:r>
        <w:separator/>
      </w:r>
    </w:p>
  </w:footnote>
  <w:footnote w:type="continuationSeparator" w:id="1">
    <w:p w:rsidR="0071155C" w:rsidRDefault="0071155C" w:rsidP="00B84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171"/>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1171"/>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D0254"/>
    <w:rsid w:val="000D0A0F"/>
    <w:rsid w:val="000D173A"/>
    <w:rsid w:val="000D219A"/>
    <w:rsid w:val="000D4BF9"/>
    <w:rsid w:val="000D4C78"/>
    <w:rsid w:val="000D6A9E"/>
    <w:rsid w:val="000D7835"/>
    <w:rsid w:val="000E3759"/>
    <w:rsid w:val="000E3887"/>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779AF"/>
    <w:rsid w:val="00182BAA"/>
    <w:rsid w:val="001831A6"/>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1CC"/>
    <w:rsid w:val="001C52FC"/>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E5B50"/>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6028"/>
    <w:rsid w:val="002175E3"/>
    <w:rsid w:val="00222D0A"/>
    <w:rsid w:val="002242A1"/>
    <w:rsid w:val="002252B7"/>
    <w:rsid w:val="00226927"/>
    <w:rsid w:val="00226E3E"/>
    <w:rsid w:val="00227AA3"/>
    <w:rsid w:val="00230072"/>
    <w:rsid w:val="002304DB"/>
    <w:rsid w:val="00230617"/>
    <w:rsid w:val="00230885"/>
    <w:rsid w:val="00230B96"/>
    <w:rsid w:val="00232674"/>
    <w:rsid w:val="00232A28"/>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2BC6"/>
    <w:rsid w:val="002B3C9A"/>
    <w:rsid w:val="002B3EE7"/>
    <w:rsid w:val="002B683B"/>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22"/>
    <w:rsid w:val="003778B3"/>
    <w:rsid w:val="0038105D"/>
    <w:rsid w:val="00382192"/>
    <w:rsid w:val="003829F6"/>
    <w:rsid w:val="00382A94"/>
    <w:rsid w:val="00382AFD"/>
    <w:rsid w:val="003837AD"/>
    <w:rsid w:val="00383F11"/>
    <w:rsid w:val="00383F60"/>
    <w:rsid w:val="0038627C"/>
    <w:rsid w:val="00386A87"/>
    <w:rsid w:val="00387EC6"/>
    <w:rsid w:val="00391892"/>
    <w:rsid w:val="003918BA"/>
    <w:rsid w:val="0039671D"/>
    <w:rsid w:val="003A1D90"/>
    <w:rsid w:val="003A3A60"/>
    <w:rsid w:val="003A3EEC"/>
    <w:rsid w:val="003A4A2C"/>
    <w:rsid w:val="003A531C"/>
    <w:rsid w:val="003A56A4"/>
    <w:rsid w:val="003A58E3"/>
    <w:rsid w:val="003A68EB"/>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65C2"/>
    <w:rsid w:val="003E6DDA"/>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37065"/>
    <w:rsid w:val="00441386"/>
    <w:rsid w:val="00441CA3"/>
    <w:rsid w:val="00444AAB"/>
    <w:rsid w:val="00447983"/>
    <w:rsid w:val="00447E5E"/>
    <w:rsid w:val="004505BF"/>
    <w:rsid w:val="004526E0"/>
    <w:rsid w:val="004538D6"/>
    <w:rsid w:val="00454A04"/>
    <w:rsid w:val="00455700"/>
    <w:rsid w:val="00460A27"/>
    <w:rsid w:val="004641CD"/>
    <w:rsid w:val="004642C1"/>
    <w:rsid w:val="00465AD2"/>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0557"/>
    <w:rsid w:val="00541848"/>
    <w:rsid w:val="00542237"/>
    <w:rsid w:val="00545467"/>
    <w:rsid w:val="0054582F"/>
    <w:rsid w:val="00546941"/>
    <w:rsid w:val="00552533"/>
    <w:rsid w:val="005537E1"/>
    <w:rsid w:val="00554CBB"/>
    <w:rsid w:val="00554CBD"/>
    <w:rsid w:val="00554E54"/>
    <w:rsid w:val="00555689"/>
    <w:rsid w:val="0055571C"/>
    <w:rsid w:val="00556285"/>
    <w:rsid w:val="00556472"/>
    <w:rsid w:val="00556486"/>
    <w:rsid w:val="00561E52"/>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143E"/>
    <w:rsid w:val="005823A8"/>
    <w:rsid w:val="0058262D"/>
    <w:rsid w:val="00582AA3"/>
    <w:rsid w:val="00582B2E"/>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355A"/>
    <w:rsid w:val="00704F6C"/>
    <w:rsid w:val="00705C3C"/>
    <w:rsid w:val="00706610"/>
    <w:rsid w:val="007069AF"/>
    <w:rsid w:val="00707440"/>
    <w:rsid w:val="007074E9"/>
    <w:rsid w:val="0071113C"/>
    <w:rsid w:val="0071155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DCF"/>
    <w:rsid w:val="007552FB"/>
    <w:rsid w:val="00756BDA"/>
    <w:rsid w:val="00757F50"/>
    <w:rsid w:val="00761465"/>
    <w:rsid w:val="00761CF1"/>
    <w:rsid w:val="00762D85"/>
    <w:rsid w:val="007632AC"/>
    <w:rsid w:val="00763A67"/>
    <w:rsid w:val="00763D11"/>
    <w:rsid w:val="0076497D"/>
    <w:rsid w:val="007653C5"/>
    <w:rsid w:val="00771599"/>
    <w:rsid w:val="00771EFC"/>
    <w:rsid w:val="00772303"/>
    <w:rsid w:val="0077497A"/>
    <w:rsid w:val="007756D0"/>
    <w:rsid w:val="0077595A"/>
    <w:rsid w:val="00776C07"/>
    <w:rsid w:val="00777898"/>
    <w:rsid w:val="00780510"/>
    <w:rsid w:val="00780C2A"/>
    <w:rsid w:val="00781FF2"/>
    <w:rsid w:val="00782528"/>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6886"/>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6337"/>
    <w:rsid w:val="008E6682"/>
    <w:rsid w:val="008E6F29"/>
    <w:rsid w:val="008E78A6"/>
    <w:rsid w:val="008E79EE"/>
    <w:rsid w:val="008F18B8"/>
    <w:rsid w:val="008F2CED"/>
    <w:rsid w:val="008F3E52"/>
    <w:rsid w:val="008F649A"/>
    <w:rsid w:val="008F67E2"/>
    <w:rsid w:val="008F7BD9"/>
    <w:rsid w:val="0090046A"/>
    <w:rsid w:val="00901C83"/>
    <w:rsid w:val="0090414C"/>
    <w:rsid w:val="009045ED"/>
    <w:rsid w:val="00904CB6"/>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19B"/>
    <w:rsid w:val="00B76EB1"/>
    <w:rsid w:val="00B77543"/>
    <w:rsid w:val="00B81061"/>
    <w:rsid w:val="00B8159F"/>
    <w:rsid w:val="00B82D17"/>
    <w:rsid w:val="00B83C76"/>
    <w:rsid w:val="00B84A41"/>
    <w:rsid w:val="00B84F74"/>
    <w:rsid w:val="00B859CD"/>
    <w:rsid w:val="00B85D81"/>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E0311"/>
    <w:rsid w:val="00BE0F9D"/>
    <w:rsid w:val="00BE44D5"/>
    <w:rsid w:val="00BE5418"/>
    <w:rsid w:val="00BE56D6"/>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CE5"/>
    <w:rsid w:val="00CD5BE3"/>
    <w:rsid w:val="00CD6547"/>
    <w:rsid w:val="00CE0AD9"/>
    <w:rsid w:val="00CE5A29"/>
    <w:rsid w:val="00CE6EA6"/>
    <w:rsid w:val="00CE7B7F"/>
    <w:rsid w:val="00CE7D0D"/>
    <w:rsid w:val="00CF09A6"/>
    <w:rsid w:val="00D00C8A"/>
    <w:rsid w:val="00D0360E"/>
    <w:rsid w:val="00D048D9"/>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17C6"/>
    <w:rsid w:val="00DA4611"/>
    <w:rsid w:val="00DA4943"/>
    <w:rsid w:val="00DA4C9B"/>
    <w:rsid w:val="00DA5673"/>
    <w:rsid w:val="00DB2E4C"/>
    <w:rsid w:val="00DB3630"/>
    <w:rsid w:val="00DB51F8"/>
    <w:rsid w:val="00DB6D62"/>
    <w:rsid w:val="00DB71FE"/>
    <w:rsid w:val="00DB74D3"/>
    <w:rsid w:val="00DB7BCA"/>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84B"/>
    <w:rsid w:val="00E21487"/>
    <w:rsid w:val="00E21E14"/>
    <w:rsid w:val="00E25F79"/>
    <w:rsid w:val="00E27B78"/>
    <w:rsid w:val="00E3191A"/>
    <w:rsid w:val="00E31B11"/>
    <w:rsid w:val="00E323DD"/>
    <w:rsid w:val="00E3255A"/>
    <w:rsid w:val="00E333FF"/>
    <w:rsid w:val="00E33C31"/>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7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4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4F74"/>
    <w:rPr>
      <w:rFonts w:ascii="Calibri" w:eastAsia="宋体" w:hAnsi="Calibri" w:cs="Times New Roman"/>
      <w:sz w:val="18"/>
      <w:szCs w:val="18"/>
    </w:rPr>
  </w:style>
  <w:style w:type="paragraph" w:styleId="a4">
    <w:name w:val="footer"/>
    <w:basedOn w:val="a"/>
    <w:link w:val="Char0"/>
    <w:uiPriority w:val="99"/>
    <w:semiHidden/>
    <w:unhideWhenUsed/>
    <w:rsid w:val="00B84F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4F7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2050</Words>
  <Characters>11689</Characters>
  <Application>Microsoft Office Word</Application>
  <DocSecurity>0</DocSecurity>
  <Lines>97</Lines>
  <Paragraphs>27</Paragraphs>
  <ScaleCrop>false</ScaleCrop>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2023-09-28T06:58:00Z</dcterms:created>
  <dcterms:modified xsi:type="dcterms:W3CDTF">2023-12-08T09:04:00Z</dcterms:modified>
</cp:coreProperties>
</file>