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color w:val="333333"/>
          <w:sz w:val="44"/>
          <w:szCs w:val="44"/>
          <w:shd w:val="clear" w:color="auto" w:fill="FFFFFF"/>
        </w:rPr>
      </w:pPr>
    </w:p>
    <w:p>
      <w:pPr>
        <w:widowControl/>
        <w:jc w:val="center"/>
        <w:rPr>
          <w:rFonts w:ascii="宋体" w:hAnsi="宋体" w:eastAsia="宋体" w:cs="宋体"/>
          <w:color w:val="333333"/>
          <w:sz w:val="44"/>
          <w:szCs w:val="44"/>
          <w:shd w:val="clear" w:color="auto" w:fill="FFFFFF"/>
        </w:rPr>
      </w:pPr>
    </w:p>
    <w:p>
      <w:pPr>
        <w:widowControl/>
        <w:jc w:val="center"/>
        <w:rPr>
          <w:rFonts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外国投资者对上市公司战略投资管理办法</w:t>
      </w:r>
    </w:p>
    <w:p>
      <w:pPr>
        <w:widowControl/>
        <w:jc w:val="center"/>
        <w:rPr>
          <w:rFonts w:ascii="宋体" w:hAnsi="宋体" w:eastAsia="宋体" w:cs="宋体"/>
          <w:color w:val="333333"/>
          <w:sz w:val="44"/>
          <w:szCs w:val="44"/>
          <w:shd w:val="clear" w:color="auto" w:fill="FFFFFF"/>
        </w:rPr>
      </w:pPr>
    </w:p>
    <w:p>
      <w:pPr>
        <w:pStyle w:val="3"/>
        <w:ind w:firstLine="640"/>
        <w:jc w:val="left"/>
        <w:rPr>
          <w:rFonts w:hint="eastAsia" w:ascii="楷体_GB2312" w:hAnsi="楷体_GB2312" w:eastAsia="楷体_GB2312" w:cs="楷体_GB2312"/>
          <w:bCs/>
          <w:szCs w:val="32"/>
          <w:shd w:val="clear" w:color="auto" w:fill="FFFFFF"/>
        </w:rPr>
      </w:pPr>
      <w:r>
        <w:rPr>
          <w:rFonts w:hint="eastAsia" w:ascii="楷体_GB2312" w:hAnsi="楷体_GB2312" w:eastAsia="楷体_GB2312" w:cs="楷体_GB2312"/>
          <w:bCs/>
          <w:szCs w:val="32"/>
          <w:shd w:val="clear" w:color="auto" w:fill="FFFFFF"/>
        </w:rPr>
        <w:t>（2005年12月31日商务部、中国证券监督管理委员会、国家税务总局、国家工商行政管理总局、国家外汇管理局令2005年第28号公布  自2006年1月31日起施行  2015年10月28日根据商务部令2015年第2号修订）</w:t>
      </w:r>
    </w:p>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第一条</w:t>
      </w:r>
      <w:r>
        <w:rPr>
          <w:rFonts w:hint="eastAsia" w:ascii="仿宋_GB2312" w:hAnsi="仿宋_GB2312" w:eastAsia="仿宋_GB2312" w:cs="仿宋_GB2312"/>
          <w:sz w:val="32"/>
          <w:szCs w:val="32"/>
        </w:rPr>
        <w:t>　为了规范股权分置改革后外国投资者对A股上市公司（以下简称上市公司）进行战略投资，维护证券市场秩序，引进境外先进管理经验、技术和资金，改善上市公司治理结构，保护上市公司和股东的合法权益，按照《关于上市公司股权分置改革的指导意见》的要求，根据国家有关外商投资、上市公司监管的法律法规以及《外国投资者并购境内企业暂行规定》，制定本办法。</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第二条</w:t>
      </w:r>
      <w:r>
        <w:rPr>
          <w:rFonts w:hint="eastAsia" w:ascii="仿宋_GB2312" w:hAnsi="仿宋_GB2312" w:eastAsia="仿宋_GB2312" w:cs="仿宋_GB2312"/>
          <w:sz w:val="32"/>
          <w:szCs w:val="32"/>
        </w:rPr>
        <w:t>　本办法适用于外国投资者（以下简称投资者）对已完成股权分置改革的上市公司和股权分置改革后新上市公司通过具有一定规模的中长期战略性并购投资（以下简称战略投资），取得该公司A股股份的行为。</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第三条</w:t>
      </w:r>
      <w:r>
        <w:rPr>
          <w:rFonts w:hint="eastAsia" w:ascii="仿宋_GB2312" w:hAnsi="仿宋_GB2312" w:eastAsia="仿宋_GB2312" w:cs="仿宋_GB2312"/>
          <w:sz w:val="32"/>
          <w:szCs w:val="32"/>
        </w:rPr>
        <w:t>　经商务部批准，投资者可以根据本办法对上市公司进行战略投资。</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第四条</w:t>
      </w:r>
      <w:r>
        <w:rPr>
          <w:rFonts w:hint="eastAsia" w:ascii="仿宋_GB2312" w:hAnsi="仿宋_GB2312" w:eastAsia="仿宋_GB2312" w:cs="仿宋_GB2312"/>
          <w:sz w:val="32"/>
          <w:szCs w:val="32"/>
        </w:rPr>
        <w:t>　战略投资应遵循以下原则：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（一）遵守国家法律、法规及相关产业政策，不得危害国家经济安全和社会公共利益；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（二）坚持公开、公正、公平的原则，维护上市公司及其股东的合法权益，接受政府、社会公众的监督及中国的司法和仲裁管辖；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（三）鼓励中长期投资，维护证券市场的正常秩序，不得炒作；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（四）不得妨碍公平竞争，不得造成中国境内相关产品市场过度集中、排除或限制竞争。</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第五条</w:t>
      </w:r>
      <w:r>
        <w:rPr>
          <w:rFonts w:hint="eastAsia" w:ascii="仿宋_GB2312" w:hAnsi="仿宋_GB2312" w:eastAsia="仿宋_GB2312" w:cs="仿宋_GB2312"/>
          <w:sz w:val="32"/>
          <w:szCs w:val="32"/>
        </w:rPr>
        <w:t>　投资者进行战略投资应符合以下要求：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（一）以协议转让、上市公司定向发行新股方式以及国家法律法规规定的其他方式取得上市公司A股股份；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（二）投资可分期进行，首次投资完成后取得的股份比例不低于该公司已发行股份的百分之十，但特殊行业有特别规定或经相关主管部门批准的除外；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（三）取得的上市公司A股股份三年内不得转让；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（四）法律法规对外商投资持股比例有明确规定的行业，投资者持有上述行业股份比例应符合相关规定；属法律法规禁止外商投资的领域，投资者不得对上述领域的上市公司进行投资；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（五）涉及上市公司国有股股东的，应符合国有资产管理的相关规定。</w:t>
      </w:r>
    </w:p>
    <w:p>
      <w:pPr>
        <w:ind w:firstLine="640" w:firstLineChars="200"/>
        <w:rPr>
          <w:rFonts w:ascii="黑体" w:hAnsi="方正黑体_GBK" w:eastAsia="黑体" w:cs="方正黑体_GBK"/>
          <w:sz w:val="32"/>
          <w:szCs w:val="32"/>
        </w:rPr>
      </w:pPr>
      <w:r>
        <w:rPr>
          <w:rFonts w:hint="eastAsia" w:ascii="黑体" w:hAnsi="方正黑体_GBK" w:eastAsia="黑体" w:cs="方正黑体_GBK"/>
          <w:sz w:val="32"/>
          <w:szCs w:val="32"/>
        </w:rPr>
        <w:t>第六条　</w:t>
      </w:r>
      <w:r>
        <w:rPr>
          <w:rFonts w:hint="eastAsia" w:ascii="仿宋_GB2312" w:hAnsi="仿宋_GB2312" w:eastAsia="仿宋_GB2312" w:cs="仿宋_GB2312"/>
          <w:sz w:val="32"/>
          <w:szCs w:val="32"/>
        </w:rPr>
        <w:t>投资者应符合以下要求：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（一）依法设立、经营的外国法人或其他组织，财务稳健、资信良好且具有成熟的管理经验；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（二）境外实有资产总额不低于1亿美元或管理的境外实有资产总额不低于5亿美元；或其母公司境外实有资产总额不低于1亿美元或管理的境外实有资产总额不低于5亿美元；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（三）有健全的治理结构和良好的内控制度，经营行为规范；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（四）近三年内未受到境内外监管机构的重大处罚（包括其母公司）。</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第七条</w:t>
      </w:r>
      <w:r>
        <w:rPr>
          <w:rFonts w:hint="eastAsia" w:ascii="仿宋_GB2312" w:hAnsi="仿宋_GB2312" w:eastAsia="仿宋_GB2312" w:cs="仿宋_GB2312"/>
          <w:sz w:val="32"/>
          <w:szCs w:val="32"/>
        </w:rPr>
        <w:t>　通过上市公司定向发行方式进行战略投资的，按以下程序办理：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（一）上市公司董事会通过向投资者定向发行新股及公司章程修改草案的决议；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（二）上市公司股东大会通过向投资者定向发行新股及修改公司章程的决议；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（三）上市公司与投资者签订定向发行的合同；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（四）上市公司根据本办法第十二条向商务部报送相关申请文件，有特殊规定的从其规定；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（五）定向发行完成后，上市公司到商务部领取外商投资企业批准证书，并凭该批准证书到工商行政管理部门办理变更登记。</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第八条</w:t>
      </w:r>
      <w:r>
        <w:rPr>
          <w:rFonts w:hint="eastAsia" w:ascii="仿宋_GB2312" w:hAnsi="仿宋_GB2312" w:eastAsia="仿宋_GB2312" w:cs="仿宋_GB2312"/>
          <w:sz w:val="32"/>
          <w:szCs w:val="32"/>
        </w:rPr>
        <w:t>　通过协议转让方式进行战略投资的，按以下程序办理：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（一）上市公司董事会通过投资者以协议转让方式进行战略投资的决议；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（二）上市公司股东大会通过投资者以协议转让方式进行战略投资的决议；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（三）转让方与投资者签订股份转让协议；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（四）投资者根据本办法第十二条向商务部报送相关申请文件，有特殊规定的从其规定；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（五）投资者参股上市公司的，获得前述批准后向证券交易所办理股份转让确认手续、向证券登记结算机构申请办理登记过户手续，并报中国证监会备案；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（六）协议转让完成后，上市公司到商务部领取外商投资企业批准证书，并凭该批准证书到工商行政管理部门办理变更登记。</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第九条</w:t>
      </w:r>
      <w:r>
        <w:rPr>
          <w:rFonts w:hint="eastAsia" w:ascii="仿宋_GB2312" w:hAnsi="仿宋_GB2312" w:eastAsia="仿宋_GB2312" w:cs="仿宋_GB2312"/>
          <w:sz w:val="32"/>
          <w:szCs w:val="32"/>
        </w:rPr>
        <w:t>　投资者拟通过协议转让方式构成对上市公司的实际控制，按照第八条第（一）、（二）、（三）、（四）项的程序获得批准后，向中国证监会报送上市公司收购报告书及相关文件，经中国证监会审核无异议后向证券交易所办理股份转让确认手续、向证券登记结算机构申请办理登记过户手续。完成上述手续后，按照第八条第（六）项办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投资者对上市公司进行战略投资，应按《证券法》和中国证监会的相关规定履行报告、公告及其他法定义务。</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第十一条</w:t>
      </w:r>
      <w:r>
        <w:rPr>
          <w:rFonts w:hint="eastAsia" w:ascii="仿宋_GB2312" w:hAnsi="仿宋_GB2312" w:eastAsia="仿宋_GB2312" w:cs="仿宋_GB2312"/>
          <w:sz w:val="32"/>
          <w:szCs w:val="32"/>
        </w:rPr>
        <w:t>　投资者对其已持有股份的上市公司继续进行战略投资的，需按本办法规定的方式和程序办理。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第十二条　</w:t>
      </w:r>
      <w:r>
        <w:rPr>
          <w:rFonts w:hint="eastAsia" w:ascii="仿宋_GB2312" w:hAnsi="仿宋_GB2312" w:eastAsia="仿宋_GB2312" w:cs="仿宋_GB2312"/>
          <w:sz w:val="32"/>
          <w:szCs w:val="32"/>
        </w:rPr>
        <w:t>上市公司或投资者应向商务部报送以下文件：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（一）战略投资申请书（格式见附件1）；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（二）战略投资方案（格式见附件2）；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（三）定向发行合同或股份转让协议；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（四）保荐机构意见书（涉及定向发行）或法律意见书；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（五）投资者持续持股的承诺函；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（六）投资者三年内未受到境内外监管机构重大处罚的声明，以及是否受到其他非重大处罚的说明；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（七）经依法公证、认证的投资者的注册登记证明、法定代表人（或授权代表）身份证明；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（八）经注册会计师审计的该投资者近三年来的资产负债表；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（九）上述（一）、（二）、（三）、（五）、（六）项中规定提交的文件均需经投资者法定代表人或其授权代表签署，由授权代表签署的还应提交经法定代表人签署的授权书及相应的公证、认证文件；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（十）商务部规定的其他文件。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前款所列文件，除第七项、第八项所列文件外，必须报送中文本原件，第七项、第八项所列文件应报送原件及中文译件。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商务部收到上述全部文件后应在30日内作出原则批复，原则批复有效期180日。</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第十三条</w:t>
      </w:r>
      <w:r>
        <w:rPr>
          <w:rFonts w:hint="eastAsia" w:ascii="仿宋_GB2312" w:hAnsi="仿宋_GB2312" w:eastAsia="仿宋_GB2312" w:cs="仿宋_GB2312"/>
          <w:sz w:val="32"/>
          <w:szCs w:val="32"/>
        </w:rPr>
        <w:t>　符合本办法第六条规定的外国公司（“母公司”）可以通过其全资拥有的境外子公司（“投资者”）进行战略投资，投资者除提交本办法第九条所列文件外，还应向商务部提交其母公司对投资者投资行为承担连带责任的不可撤销的承诺函。</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第十四条</w:t>
      </w:r>
      <w:r>
        <w:rPr>
          <w:rFonts w:hint="eastAsia" w:ascii="仿宋_GB2312" w:hAnsi="仿宋_GB2312" w:eastAsia="仿宋_GB2312" w:cs="仿宋_GB2312"/>
          <w:sz w:val="32"/>
          <w:szCs w:val="32"/>
        </w:rPr>
        <w:t>　投资者应在商务部原则批复之日起15日内根据外商投资并购的相关规定开立外汇账户。投资者从境外汇入的用于战略投资的外汇资金，应当根据外汇管理的有关规定，到上市公司注册所在地外汇局申请开立外国投资者专用外汇账户（收购类），账户内资金的结汇及账户注销手续参照相关外汇管理规定办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第十五条</w:t>
      </w:r>
      <w:r>
        <w:rPr>
          <w:rFonts w:hint="eastAsia" w:ascii="仿宋_GB2312" w:hAnsi="仿宋_GB2312" w:eastAsia="仿宋_GB2312" w:cs="仿宋_GB2312"/>
          <w:sz w:val="32"/>
          <w:szCs w:val="32"/>
        </w:rPr>
        <w:t>　投资者可以持商务部对该投资者对上市公司进行战略投资的批准文件和有效身份证明，向证券登记结算机构办理相关手续。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对于投资者在上市公司股权分置改革前持有的非流通股份或在上市公司首次公开发行前持有的股份，证券登记结算机构可以根据投资者申请为其开立证券账户。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证券登记结算机构应根据本管理办法制定相应规定。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第十六条</w:t>
      </w:r>
      <w:r>
        <w:rPr>
          <w:rFonts w:hint="eastAsia" w:ascii="仿宋_GB2312" w:hAnsi="仿宋_GB2312" w:eastAsia="仿宋_GB2312" w:cs="仿宋_GB2312"/>
          <w:sz w:val="32"/>
          <w:szCs w:val="32"/>
        </w:rPr>
        <w:t>　投资者应在资金结汇之日起15日内启动战略投资行为，并在原则批复之日起180日内完成战略投资。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投资者未能在规定时间内按战略投资方案完成战略投资的，审批机关的原则批复自动失效。投资者应在原则批复失效之日起45日内，经外汇局核准后将结汇所得人民币资金购汇并汇出境外。</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第十七条</w:t>
      </w:r>
      <w:r>
        <w:rPr>
          <w:rFonts w:hint="eastAsia" w:ascii="仿宋_GB2312" w:hAnsi="仿宋_GB2312" w:eastAsia="仿宋_GB2312" w:cs="仿宋_GB2312"/>
          <w:sz w:val="32"/>
          <w:szCs w:val="32"/>
        </w:rPr>
        <w:t>　战略投资完成后，上市公司应于10日内凭以下文件到商务部领取外商投资企业批准证书：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（二）商务部原则批复函；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（三）证券登记结算机构出具的股份持有证明；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（四）上市公司营业执照和法定代表人身份证明；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（五）上市公司章程。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商务部在收到上述全部文件之日起5日内颁发外商投资企业批准证书，加注“外商投资股份公司（A股并购）”。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如投资者取得单一上市公司25％或以上股份并承诺在10年内持续持股不低于25％，商务部在颁发的外商投资企业批准证书上加注“外商投资股份公司（A股并购25％或以上）”。</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第十八条</w:t>
      </w:r>
      <w:r>
        <w:rPr>
          <w:rFonts w:hint="eastAsia" w:ascii="仿宋_GB2312" w:hAnsi="仿宋_GB2312" w:eastAsia="仿宋_GB2312" w:cs="仿宋_GB2312"/>
          <w:sz w:val="32"/>
          <w:szCs w:val="32"/>
        </w:rPr>
        <w:t>　上市公司应自外商投资企业批准证书签发之日起30日内，向工商行政管理机关申请办理公司类型变更登记，并提交下列文件：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（一）公司法定代表人签署的申请变更申请书；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（二）外商投资企业批准证书；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（三）证券登记结算机构出具的股份持有证明；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（四）经公证、认证的投资者的合法开业证明；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（五）国家工商行政管理总局规定应提交的其他文件。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核准变更的，工商行政管理机关在营业执照企业类型栏目中加注“外商投资股份公司（A股并购）”字样，其中，投资者进行战略投资取得单一上市公司25％或以上股份并承诺在10年内持续持股不低于25%的，加注“外商投资股份公司（A股并购25％或以上）”。</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第十九条</w:t>
      </w:r>
      <w:r>
        <w:rPr>
          <w:rFonts w:hint="eastAsia" w:ascii="仿宋_GB2312" w:hAnsi="仿宋_GB2312" w:eastAsia="仿宋_GB2312" w:cs="仿宋_GB2312"/>
          <w:sz w:val="32"/>
          <w:szCs w:val="32"/>
        </w:rPr>
        <w:t>　上市公司应自外商投资企业营业执照签发之日起30日内，到税务、海关、外汇管理等有关部门办理相关手续。外汇管理部门在所颁发的外汇登记证上加注“外商投资股份公司（A股并购）”。如投资者进行战略投资取得单一上市公司25％或以上股份并承诺在10年内持续持股不低于25%的，外汇管理部门在外汇登记证上加注“外商投资股份公司（A股并购25％或以上）”。</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第二十条</w:t>
      </w:r>
      <w:r>
        <w:rPr>
          <w:rFonts w:hint="eastAsia" w:ascii="仿宋_GB2312" w:hAnsi="仿宋_GB2312" w:eastAsia="仿宋_GB2312" w:cs="仿宋_GB2312"/>
          <w:sz w:val="32"/>
          <w:szCs w:val="32"/>
        </w:rPr>
        <w:t>　除以下情形外，投资者不得进行证券买卖（B股除外）：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（一）投资者进行战略投资所持上市公司A股股份，在其承诺的持股期限届满后可以出售；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（二）投资者根据《证券法》相关规定须以要约方式进行收购的，在要约期间可以收购上市公司A股股东出售的股份；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（三）投资者在上市公司股权分置改革前持有的非流通股份，在股权分置改革完成且限售期满后可以出售；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（四）投资者在上市公司首次公开发行前持有的股份，在限售期满后可以出售；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（五）投资者承诺的持股期限届满前，因其破产、清算、抵押等特殊原因需转让其股份的，经商务部批准可以转让。</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第二十一条</w:t>
      </w:r>
      <w:r>
        <w:rPr>
          <w:rFonts w:hint="eastAsia" w:ascii="仿宋_GB2312" w:hAnsi="仿宋_GB2312" w:eastAsia="仿宋_GB2312" w:cs="仿宋_GB2312"/>
          <w:sz w:val="32"/>
          <w:szCs w:val="32"/>
        </w:rPr>
        <w:t>　投资者减持股份使上市公司外资股比低于25%，上市公司应在10日内向商务部备案并办理变更外商投资企业批准证书的相关手续。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投资者减持股份使上市公司外资股比低于10%，且该投资者非为单一最大股东，上市公司应在10日内向审批机关备案并办理注销外商投资企业批准证书的相关手续。</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第二十二条</w:t>
      </w:r>
      <w:r>
        <w:rPr>
          <w:rFonts w:hint="eastAsia" w:ascii="仿宋_GB2312" w:hAnsi="仿宋_GB2312" w:eastAsia="仿宋_GB2312" w:cs="仿宋_GB2312"/>
          <w:sz w:val="32"/>
          <w:szCs w:val="32"/>
        </w:rPr>
        <w:t>　投资者减持股份使上市公司外资股比低于25%，上市公司应自外商投资企业批准证书变更之日起30日内到工商行政管理机关办理变更登记，工商行政管理机关在营业执照上企业类型调整为“外商投资股份公司（A股并购）”。上市公司应自营业执照变更之日起30日内到外汇管理部门办理变更外汇登记，外汇管理部门在外汇登记证上加注“外商投资股份公司（A股并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资者减持股份使上市公司外资股比低于10％，且投资者非为单一最大股东，上市公司自外商投资企业批准证书注销之日起30日内到工商行政管理机关办理变更登记，企业类型变更为股份有限公司。上市公司应自营业执照变更之日起30日内到外汇管理部门办理外汇登记注销手续。</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第二十三条</w:t>
      </w:r>
      <w:r>
        <w:rPr>
          <w:rFonts w:hint="eastAsia" w:ascii="仿宋_GB2312" w:hAnsi="仿宋_GB2312" w:eastAsia="仿宋_GB2312" w:cs="仿宋_GB2312"/>
          <w:sz w:val="32"/>
          <w:szCs w:val="32"/>
        </w:rPr>
        <w:t>　母公司通过其全资拥有的境外子公司进行战略投资并已按期完成的，母公司转让上述境外子公司前应向商务部报告，并根据本办法所列程序提出申请。新的受让方仍应符合本办法所规定的条件，承担母公司及其子公司在上市公司中的全部权利和义务，并依法履行向中国证监会报告、公告及其他法定义务。</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第二十四条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投资者通过A股市场将所持上市公司股份出让的，可凭以下文件向上市公司注册所在地外汇局申请购汇汇出：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（一）书面申请；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（二）为战略投资目的所开立的外国投资者专用外汇账户（收购类）内资金经外汇局核准结汇的核准件；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（三）商务部出具的关于上市公司股权结构变更的批复文件；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（四）证券经纪机构出具的有关证券交易证明文件。</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第二十五条</w:t>
      </w:r>
      <w:r>
        <w:rPr>
          <w:rFonts w:hint="eastAsia" w:ascii="仿宋_GB2312" w:hAnsi="仿宋_GB2312" w:eastAsia="仿宋_GB2312" w:cs="仿宋_GB2312"/>
          <w:sz w:val="32"/>
          <w:szCs w:val="32"/>
        </w:rPr>
        <w:t>　投资者持股比例低于25%的上市公司，其举借外债按照境内中资企业举借外债的有关规定办理。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第二十六</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相关政府机构工作人员必须忠于职守、依法履行职责，不得利用职务便利牟取不正当利益，并对知悉的商业秘密负有保密义务。</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第二十七条</w:t>
      </w:r>
      <w:r>
        <w:rPr>
          <w:rFonts w:hint="eastAsia" w:ascii="仿宋_GB2312" w:hAnsi="仿宋_GB2312" w:eastAsia="仿宋_GB2312" w:cs="仿宋_GB2312"/>
          <w:sz w:val="32"/>
          <w:szCs w:val="32"/>
        </w:rPr>
        <w:t>　香港特别行政区、澳门特别行政区、台湾地区的投资者进行战略投资，参照本办法办理。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第二十八条</w:t>
      </w:r>
      <w:r>
        <w:rPr>
          <w:rFonts w:hint="eastAsia" w:ascii="仿宋_GB2312" w:hAnsi="仿宋_GB2312" w:eastAsia="仿宋_GB2312" w:cs="仿宋_GB2312"/>
          <w:sz w:val="32"/>
          <w:szCs w:val="32"/>
        </w:rPr>
        <w:t>　本办法自发布之日起30日后施行。</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黑体" w:hAnsi="方正黑体_GBK" w:eastAsia="黑体" w:cs="方正黑体_GBK"/>
          <w:sz w:val="32"/>
          <w:szCs w:val="32"/>
        </w:rPr>
        <w:t>附件1：</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战略投资申请书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一、投资者名称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二、目标上市公司名称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三、投资意向</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（投资者及授权代表签章）</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黑体" w:hAnsi="方正黑体_GBK" w:eastAsia="黑体" w:cs="方正黑体_GBK"/>
          <w:sz w:val="32"/>
          <w:szCs w:val="32"/>
        </w:rPr>
        <w:t>附件2：</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战略投资方案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一、投资者名称及自身情况简介（母公司通过其全资拥有的境外子公司进行战略投资的还应提供母公司的相关材料）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二、目标上市公司名称、经营范围，拟取得公司股份的具体方式、拟取得的股份数量及取得后占上市公司已发行股份的比例、战略投资时限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三、持续持股期限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四、投资者与目标上市公司控股股东的关联关系说明</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（投资者及授权代表签章）</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ind w:firstLine="640" w:firstLineChars="200"/>
        <w:rPr>
          <w:rFonts w:ascii="黑体" w:hAnsi="黑体" w:eastAsia="黑体" w:cs="黑体"/>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4098" o:spid="_x0000_s4098"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p>
    <w:pPr>
      <w:pStyle w:val="6"/>
      <w:ind w:left="4788" w:leftChars="2280" w:firstLine="6400" w:firstLineChars="2000"/>
      <w:rPr>
        <w:rFonts w:ascii="宋体" w:hAnsi="宋体" w:eastAsia="宋体" w:cs="宋体"/>
        <w:b/>
        <w:bCs/>
        <w:color w:val="005192"/>
        <w:sz w:val="28"/>
        <w:szCs w:val="44"/>
      </w:rPr>
    </w:pPr>
    <w:r>
      <w:rPr>
        <w:color w:val="FAFAFA"/>
        <w:sz w:val="32"/>
      </w:rPr>
      <w:pict>
        <v:line id="_x0000_s4099" o:spid="_x0000_s4099" o:spt="20" style="position:absolute;left:0pt;margin-left:0pt;margin-top:5.85pt;height:0.15pt;width:442.25pt;z-index:251661312;mso-width-relative:page;mso-height-relative:page;"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path arrowok="t"/>
          <v:fill focussize="0,0"/>
          <v:stroke weight="1.75pt" color="#005192" joinstyle="miter"/>
          <v:imagedata o:title=""/>
          <o:lock v:ext="edit"/>
        </v:line>
      </w:pict>
    </w:r>
    <w:r>
      <w:rPr>
        <w:rFonts w:hint="eastAsia" w:ascii="楷体_GB2312" w:hAnsi="楷体_GB2312" w:eastAsia="楷体_GB2312" w:cs="楷体_GB2312"/>
        <w:bCs/>
        <w:sz w:val="32"/>
        <w:szCs w:val="32"/>
        <w:shd w:val="clear" w:color="auto" w:fill="FFFFFF"/>
      </w:rPr>
      <w:t>商</w:t>
    </w:r>
    <w:bookmarkStart w:id="0" w:name="_GoBack"/>
    <w:bookmarkEnd w:id="0"/>
    <w:r>
      <w:rPr>
        <w:rFonts w:hint="eastAsia" w:ascii="宋体" w:hAnsi="宋体" w:eastAsia="宋体" w:cs="宋体"/>
        <w:b/>
        <w:bCs/>
        <w:color w:val="005192"/>
        <w:sz w:val="28"/>
        <w:szCs w:val="44"/>
      </w:rPr>
      <w:t xml:space="preserve">商务部、中国证券监督管理委员会、国家税务总局、国家工商行政管理总局、国家外汇管理局发布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4097" o:spid="_x0000_s4097" o:spt="20" style="position:absolute;left:0pt;margin-left:-0.2pt;margin-top:54.35pt;height:0pt;width:442.55pt;z-index:251660288;mso-width-relative:page;mso-height-relative:page;" stroked="t" coordsize="21600,21600"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F46C0"/>
    <w:rsid w:val="0016039A"/>
    <w:rsid w:val="00172A27"/>
    <w:rsid w:val="001734D6"/>
    <w:rsid w:val="001B5B5D"/>
    <w:rsid w:val="00294F05"/>
    <w:rsid w:val="002D10B9"/>
    <w:rsid w:val="00391C0B"/>
    <w:rsid w:val="00577205"/>
    <w:rsid w:val="005C3AF3"/>
    <w:rsid w:val="00626B52"/>
    <w:rsid w:val="007D6593"/>
    <w:rsid w:val="008E018E"/>
    <w:rsid w:val="008E795C"/>
    <w:rsid w:val="00A34299"/>
    <w:rsid w:val="00AB5DC3"/>
    <w:rsid w:val="00B20EE7"/>
    <w:rsid w:val="00B554E7"/>
    <w:rsid w:val="00BC365E"/>
    <w:rsid w:val="00C80435"/>
    <w:rsid w:val="00D905B1"/>
    <w:rsid w:val="00E1402D"/>
    <w:rsid w:val="00EF2812"/>
    <w:rsid w:val="00FE7698"/>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BCD06A6"/>
    <w:rsid w:val="6D0E3F22"/>
    <w:rsid w:val="6EFBEFB9"/>
    <w:rsid w:val="70D363E7"/>
    <w:rsid w:val="777907E8"/>
    <w:rsid w:val="7C9011D9"/>
    <w:rsid w:val="7DC651C5"/>
    <w:rsid w:val="7FCC2834"/>
    <w:rsid w:val="C39F7F56"/>
    <w:rsid w:val="F6DF1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20" w:after="320" w:line="576" w:lineRule="auto"/>
      <w:ind w:firstLine="880" w:firstLineChars="200"/>
      <w:jc w:val="center"/>
      <w:outlineLvl w:val="0"/>
    </w:pPr>
    <w:rPr>
      <w:rFonts w:ascii="Times New Roman" w:hAnsi="Times New Roman" w:eastAsia="方正黑体_GBK" w:cs="Times New Roman"/>
      <w:kern w:val="44"/>
      <w:sz w:val="32"/>
    </w:rPr>
  </w:style>
  <w:style w:type="paragraph" w:styleId="3">
    <w:name w:val="heading 2"/>
    <w:basedOn w:val="1"/>
    <w:next w:val="1"/>
    <w:link w:val="12"/>
    <w:qFormat/>
    <w:uiPriority w:val="0"/>
    <w:pPr>
      <w:keepNext/>
      <w:keepLines/>
      <w:ind w:firstLine="880" w:firstLineChars="200"/>
      <w:outlineLvl w:val="1"/>
    </w:pPr>
    <w:rPr>
      <w:rFonts w:ascii="Times New Roman" w:hAnsi="Times New Roman" w:eastAsia="方正黑体_GBK" w:cs="Times New Roman"/>
      <w:sz w:val="32"/>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itle"/>
    <w:basedOn w:val="1"/>
    <w:link w:val="10"/>
    <w:qFormat/>
    <w:uiPriority w:val="0"/>
    <w:pPr>
      <w:spacing w:beforeLines="100" w:line="500" w:lineRule="exact"/>
      <w:ind w:firstLine="880" w:firstLineChars="200"/>
      <w:jc w:val="center"/>
      <w:outlineLvl w:val="0"/>
    </w:pPr>
    <w:rPr>
      <w:rFonts w:ascii="Times New Roman" w:hAnsi="Times New Roman" w:eastAsia="仿宋_GB2312" w:cs="Times New Roman"/>
      <w:sz w:val="44"/>
    </w:rPr>
  </w:style>
  <w:style w:type="character" w:customStyle="1" w:styleId="10">
    <w:name w:val="标题 Char"/>
    <w:basedOn w:val="9"/>
    <w:link w:val="7"/>
    <w:qFormat/>
    <w:uiPriority w:val="0"/>
    <w:rPr>
      <w:rFonts w:eastAsia="仿宋_GB2312"/>
      <w:kern w:val="2"/>
      <w:sz w:val="44"/>
      <w:szCs w:val="24"/>
    </w:rPr>
  </w:style>
  <w:style w:type="character" w:customStyle="1" w:styleId="11">
    <w:name w:val="标题 1 Char"/>
    <w:basedOn w:val="9"/>
    <w:link w:val="2"/>
    <w:qFormat/>
    <w:uiPriority w:val="0"/>
    <w:rPr>
      <w:rFonts w:eastAsia="方正黑体_GBK"/>
      <w:kern w:val="44"/>
      <w:sz w:val="32"/>
      <w:szCs w:val="24"/>
    </w:rPr>
  </w:style>
  <w:style w:type="character" w:customStyle="1" w:styleId="12">
    <w:name w:val="标题 2 Char"/>
    <w:basedOn w:val="9"/>
    <w:link w:val="3"/>
    <w:qFormat/>
    <w:uiPriority w:val="0"/>
    <w:rPr>
      <w:rFonts w:eastAsia="方正黑体_GBK"/>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746</Words>
  <Characters>4256</Characters>
  <Lines>35</Lines>
  <Paragraphs>9</Paragraphs>
  <TotalTime>9</TotalTime>
  <ScaleCrop>false</ScaleCrop>
  <LinksUpToDate>false</LinksUpToDate>
  <CharactersWithSpaces>4993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2022-02-14T16:53:00Z</dcterms:created>
  <dc:creator>t</dc:creator>
  <cp:lastModifiedBy>zhanhj1</cp:lastModifiedBy>
  <cp:lastPrinted>2021-10-27T11:30:00Z</cp:lastPrinted>
  <dcterms:modified xsi:type="dcterms:W3CDTF">2022-08-18T14:15:32Z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5EAB611E0DE84F25B252D9D65616424B</vt:lpwstr>
  </property>
</Properties>
</file>