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i w:val="0"/>
          <w:caps w:val="0"/>
          <w:color w:val="auto"/>
          <w:spacing w:val="8"/>
          <w:sz w:val="32"/>
          <w:szCs w:val="32"/>
        </w:rPr>
      </w:pPr>
      <w:r>
        <w:rPr>
          <w:rStyle w:val="6"/>
          <w:rFonts w:hint="eastAsia" w:ascii="仿宋" w:hAnsi="仿宋" w:eastAsia="仿宋" w:cs="仿宋"/>
          <w:i w:val="0"/>
          <w:caps w:val="0"/>
          <w:color w:val="auto"/>
          <w:spacing w:val="8"/>
          <w:sz w:val="32"/>
          <w:szCs w:val="32"/>
        </w:rPr>
        <w:t>境外直接投资存量权益登记指南</w:t>
      </w:r>
    </w:p>
    <w:p>
      <w:pPr>
        <w:pStyle w:val="3"/>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Lines="0" w:beforeAutospacing="0" w:after="0" w:afterLines="0" w:afterAutospacing="0" w:line="240" w:lineRule="auto"/>
        <w:ind w:leftChars="200" w:right="0" w:rightChars="0"/>
        <w:jc w:val="both"/>
        <w:textAlignment w:val="auto"/>
        <w:outlineLvl w:val="9"/>
        <w:rPr>
          <w:rFonts w:hint="eastAsia" w:ascii="仿宋" w:hAnsi="仿宋" w:eastAsia="仿宋" w:cs="仿宋"/>
          <w:b/>
          <w:bCs/>
          <w:i w:val="0"/>
          <w:caps w:val="0"/>
          <w:color w:val="auto"/>
          <w:spacing w:val="0"/>
          <w:sz w:val="30"/>
          <w:szCs w:val="30"/>
          <w:lang w:val="en-US" w:eastAsia="zh-CN"/>
        </w:rPr>
      </w:pPr>
    </w:p>
    <w:p>
      <w:pPr>
        <w:pStyle w:val="3"/>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Lines="0" w:beforeAutospacing="0" w:after="0" w:afterLines="0" w:afterAutospacing="0" w:line="240" w:lineRule="auto"/>
        <w:ind w:leftChars="200" w:right="0" w:rightChars="0"/>
        <w:jc w:val="both"/>
        <w:textAlignment w:val="auto"/>
        <w:outlineLvl w:val="9"/>
        <w:rPr>
          <w:rFonts w:hint="eastAsia" w:ascii="仿宋" w:hAnsi="仿宋" w:eastAsia="仿宋" w:cs="仿宋"/>
          <w:b/>
          <w:bCs/>
          <w:i w:val="0"/>
          <w:caps w:val="0"/>
          <w:color w:val="auto"/>
          <w:spacing w:val="0"/>
          <w:sz w:val="30"/>
          <w:szCs w:val="30"/>
          <w:lang w:val="en-US" w:eastAsia="zh-CN"/>
        </w:rPr>
      </w:pPr>
      <w:r>
        <w:rPr>
          <w:rFonts w:hint="eastAsia" w:ascii="仿宋" w:hAnsi="仿宋" w:eastAsia="仿宋" w:cs="仿宋"/>
          <w:b/>
          <w:bCs/>
          <w:i w:val="0"/>
          <w:caps w:val="0"/>
          <w:color w:val="auto"/>
          <w:spacing w:val="0"/>
          <w:sz w:val="30"/>
          <w:szCs w:val="30"/>
          <w:lang w:val="en-US" w:eastAsia="zh-CN"/>
        </w:rPr>
        <w:t>一、申报主体</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b w:val="0"/>
          <w:bCs/>
          <w:i w:val="0"/>
          <w:caps w:val="0"/>
          <w:color w:val="auto"/>
          <w:spacing w:val="8"/>
          <w:sz w:val="30"/>
          <w:szCs w:val="30"/>
          <w:lang w:val="en-US" w:eastAsia="zh-CN"/>
        </w:rPr>
      </w:pPr>
      <w:r>
        <w:rPr>
          <w:rStyle w:val="6"/>
          <w:rFonts w:hint="eastAsia" w:ascii="仿宋" w:hAnsi="仿宋" w:eastAsia="仿宋" w:cs="仿宋"/>
          <w:b w:val="0"/>
          <w:bCs/>
          <w:i w:val="0"/>
          <w:caps w:val="0"/>
          <w:color w:val="auto"/>
          <w:spacing w:val="8"/>
          <w:sz w:val="30"/>
          <w:szCs w:val="30"/>
          <w:lang w:eastAsia="zh-CN"/>
        </w:rPr>
        <w:t>上一年度</w:t>
      </w:r>
      <w:r>
        <w:rPr>
          <w:rStyle w:val="6"/>
          <w:rFonts w:hint="eastAsia" w:ascii="仿宋" w:hAnsi="仿宋" w:eastAsia="仿宋" w:cs="仿宋"/>
          <w:b w:val="0"/>
          <w:bCs/>
          <w:i w:val="0"/>
          <w:caps w:val="0"/>
          <w:color w:val="auto"/>
          <w:spacing w:val="8"/>
          <w:sz w:val="30"/>
          <w:szCs w:val="30"/>
        </w:rPr>
        <w:t>12月31日前</w:t>
      </w:r>
      <w:r>
        <w:rPr>
          <w:rFonts w:hint="eastAsia" w:ascii="仿宋" w:hAnsi="仿宋" w:eastAsia="仿宋" w:cs="仿宋"/>
          <w:b w:val="0"/>
          <w:bCs/>
          <w:i w:val="0"/>
          <w:caps w:val="0"/>
          <w:color w:val="auto"/>
          <w:spacing w:val="8"/>
          <w:sz w:val="30"/>
          <w:szCs w:val="30"/>
          <w:lang w:val="en-US" w:eastAsia="zh-CN"/>
        </w:rPr>
        <w:t>设立的境外投资企业的境内股东（含金融机构及特殊目的公司境内个人股东）。多个境内机构共同实施一项境外直接投资的，只需一家境内机构报送。</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b w:val="0"/>
          <w:bCs/>
          <w:i w:val="0"/>
          <w:caps w:val="0"/>
          <w:color w:val="auto"/>
          <w:spacing w:val="8"/>
          <w:sz w:val="30"/>
          <w:szCs w:val="30"/>
          <w:lang w:val="en-US" w:eastAsia="zh-CN"/>
        </w:rPr>
      </w:pPr>
      <w:r>
        <w:rPr>
          <w:rFonts w:hint="eastAsia" w:ascii="仿宋" w:hAnsi="仿宋" w:eastAsia="仿宋" w:cs="仿宋"/>
          <w:b w:val="0"/>
          <w:bCs/>
          <w:i w:val="0"/>
          <w:caps w:val="0"/>
          <w:color w:val="auto"/>
          <w:spacing w:val="8"/>
          <w:sz w:val="30"/>
          <w:szCs w:val="30"/>
          <w:lang w:val="en-US" w:eastAsia="zh-CN"/>
        </w:rPr>
        <w:t>企业需先到银行办理境外直接投资外汇登记手续，系统内才有企业主体信息。</w:t>
      </w:r>
    </w:p>
    <w:p>
      <w:pPr>
        <w:pStyle w:val="3"/>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Lines="0" w:beforeAutospacing="0" w:after="0" w:afterLines="0" w:afterAutospacing="0" w:line="240" w:lineRule="auto"/>
        <w:ind w:leftChars="200" w:right="0" w:rightChars="0"/>
        <w:jc w:val="both"/>
        <w:textAlignment w:val="auto"/>
        <w:outlineLvl w:val="9"/>
        <w:rPr>
          <w:rFonts w:hint="eastAsia" w:ascii="仿宋" w:hAnsi="仿宋" w:eastAsia="仿宋" w:cs="仿宋"/>
          <w:b/>
          <w:bCs/>
          <w:i w:val="0"/>
          <w:caps w:val="0"/>
          <w:color w:val="auto"/>
          <w:spacing w:val="8"/>
          <w:sz w:val="30"/>
          <w:szCs w:val="30"/>
          <w:lang w:val="en-US" w:eastAsia="zh-CN"/>
        </w:rPr>
      </w:pPr>
      <w:r>
        <w:rPr>
          <w:rFonts w:hint="eastAsia" w:ascii="仿宋" w:hAnsi="仿宋" w:eastAsia="仿宋" w:cs="仿宋"/>
          <w:b/>
          <w:bCs/>
          <w:i w:val="0"/>
          <w:caps w:val="0"/>
          <w:color w:val="auto"/>
          <w:spacing w:val="8"/>
          <w:sz w:val="30"/>
          <w:szCs w:val="30"/>
          <w:lang w:val="en-US" w:eastAsia="zh-CN"/>
        </w:rPr>
        <w:t>二、申报时间</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Style w:val="6"/>
          <w:rFonts w:hint="eastAsia" w:ascii="仿宋" w:hAnsi="仿宋" w:eastAsia="仿宋" w:cs="仿宋"/>
          <w:b w:val="0"/>
          <w:bCs/>
          <w:color w:val="auto"/>
          <w:spacing w:val="8"/>
          <w:sz w:val="30"/>
          <w:szCs w:val="30"/>
          <w:lang w:eastAsia="zh-CN"/>
        </w:rPr>
        <w:t>每年</w:t>
      </w:r>
      <w:r>
        <w:rPr>
          <w:rStyle w:val="6"/>
          <w:rFonts w:hint="eastAsia" w:ascii="仿宋" w:hAnsi="仿宋" w:eastAsia="仿宋" w:cs="仿宋"/>
          <w:b w:val="0"/>
          <w:bCs/>
          <w:color w:val="auto"/>
          <w:spacing w:val="8"/>
          <w:sz w:val="30"/>
          <w:szCs w:val="30"/>
        </w:rPr>
        <w:t>1月1日至6月30日</w:t>
      </w:r>
      <w:r>
        <w:rPr>
          <w:rStyle w:val="6"/>
          <w:rFonts w:hint="eastAsia" w:ascii="仿宋" w:hAnsi="仿宋" w:eastAsia="仿宋" w:cs="仿宋"/>
          <w:b w:val="0"/>
          <w:bCs/>
          <w:color w:val="auto"/>
          <w:spacing w:val="8"/>
          <w:sz w:val="30"/>
          <w:szCs w:val="30"/>
          <w:lang w:eastAsia="zh-CN"/>
        </w:rPr>
        <w:t>。</w:t>
      </w:r>
      <w:r>
        <w:rPr>
          <w:rFonts w:hint="eastAsia" w:ascii="仿宋" w:hAnsi="仿宋" w:eastAsia="仿宋" w:cs="仿宋"/>
          <w:i w:val="0"/>
          <w:caps w:val="0"/>
          <w:color w:val="auto"/>
          <w:spacing w:val="8"/>
          <w:sz w:val="30"/>
          <w:szCs w:val="30"/>
          <w:lang w:val="en-US" w:eastAsia="zh-CN"/>
        </w:rPr>
        <w:t>未按要求报送境外直接投资存量权益登记的，按《国家外汇管理局关于进一步简化和改进直接投资外汇管理政策的通知》（汇发〔2015〕13号）相关要求进行管理。</w:t>
      </w:r>
    </w:p>
    <w:p>
      <w:pPr>
        <w:pStyle w:val="3"/>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Lines="0" w:beforeAutospacing="0" w:after="0" w:afterLines="0" w:afterAutospacing="0" w:line="240" w:lineRule="auto"/>
        <w:ind w:leftChars="200" w:right="0" w:rightChars="0"/>
        <w:jc w:val="both"/>
        <w:textAlignment w:val="auto"/>
        <w:outlineLvl w:val="9"/>
        <w:rPr>
          <w:rFonts w:hint="eastAsia" w:ascii="仿宋" w:hAnsi="仿宋" w:eastAsia="仿宋" w:cs="仿宋"/>
          <w:b/>
          <w:bCs/>
          <w:i w:val="0"/>
          <w:caps w:val="0"/>
          <w:color w:val="auto"/>
          <w:spacing w:val="8"/>
          <w:sz w:val="30"/>
          <w:szCs w:val="30"/>
          <w:lang w:val="en-US" w:eastAsia="zh-CN"/>
        </w:rPr>
      </w:pPr>
      <w:r>
        <w:rPr>
          <w:rFonts w:hint="eastAsia" w:ascii="仿宋" w:hAnsi="仿宋" w:eastAsia="仿宋" w:cs="仿宋"/>
          <w:b/>
          <w:bCs/>
          <w:i w:val="0"/>
          <w:caps w:val="0"/>
          <w:color w:val="auto"/>
          <w:spacing w:val="8"/>
          <w:sz w:val="30"/>
          <w:szCs w:val="30"/>
          <w:lang w:val="en-US" w:eastAsia="zh-CN"/>
        </w:rPr>
        <w:t>三、申报途径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Style w:val="6"/>
          <w:rFonts w:hint="eastAsia" w:ascii="仿宋" w:hAnsi="仿宋" w:eastAsia="仿宋" w:cs="仿宋"/>
          <w:b w:val="0"/>
          <w:bCs/>
          <w:i w:val="0"/>
          <w:caps w:val="0"/>
          <w:color w:val="auto"/>
          <w:spacing w:val="8"/>
          <w:sz w:val="30"/>
          <w:szCs w:val="30"/>
          <w:lang w:val="en-US" w:eastAsia="zh-CN"/>
        </w:rPr>
      </w:pPr>
      <w:r>
        <w:rPr>
          <w:rFonts w:hint="eastAsia" w:ascii="仿宋" w:hAnsi="仿宋" w:eastAsia="仿宋" w:cs="仿宋"/>
          <w:b w:val="0"/>
          <w:bCs/>
          <w:i w:val="0"/>
          <w:caps w:val="0"/>
          <w:color w:val="auto"/>
          <w:spacing w:val="8"/>
          <w:sz w:val="30"/>
          <w:szCs w:val="30"/>
          <w:lang w:val="en-US" w:eastAsia="zh-CN"/>
        </w:rPr>
        <w:t>境外投资企业的境内投资机构可</w:t>
      </w:r>
      <w:r>
        <w:rPr>
          <w:rStyle w:val="6"/>
          <w:rFonts w:hint="eastAsia" w:ascii="仿宋" w:hAnsi="仿宋" w:eastAsia="仿宋" w:cs="仿宋"/>
          <w:b w:val="0"/>
          <w:bCs/>
          <w:i w:val="0"/>
          <w:caps w:val="0"/>
          <w:color w:val="auto"/>
          <w:spacing w:val="8"/>
          <w:sz w:val="30"/>
          <w:szCs w:val="30"/>
          <w:lang w:eastAsia="zh-CN"/>
        </w:rPr>
        <w:t>自行申报或委托银行代为申报。</w:t>
      </w:r>
      <w:r>
        <w:rPr>
          <w:rFonts w:hint="eastAsia" w:ascii="仿宋" w:hAnsi="仿宋" w:eastAsia="仿宋" w:cs="仿宋"/>
          <w:b w:val="0"/>
          <w:bCs/>
          <w:i w:val="0"/>
          <w:caps w:val="0"/>
          <w:color w:val="auto"/>
          <w:spacing w:val="8"/>
          <w:sz w:val="30"/>
          <w:szCs w:val="30"/>
          <w:lang w:val="en-US" w:eastAsia="zh-CN"/>
        </w:rPr>
        <w:t>特殊目的公司境内个人股东需委托银行代为申报。</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1.自行申报步骤</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val="en-US" w:eastAsia="zh-CN"/>
        </w:rPr>
        <w:t>（1）登录</w:t>
      </w:r>
      <w:r>
        <w:rPr>
          <w:rFonts w:hint="eastAsia" w:ascii="仿宋" w:hAnsi="仿宋" w:eastAsia="仿宋" w:cs="仿宋"/>
          <w:i w:val="0"/>
          <w:caps w:val="0"/>
          <w:color w:val="auto"/>
          <w:spacing w:val="8"/>
          <w:sz w:val="30"/>
          <w:szCs w:val="30"/>
          <w:lang w:eastAsia="zh-CN"/>
        </w:rPr>
        <w:t>“国家外汇管理局数字外管平</w:t>
      </w:r>
      <w:r>
        <w:rPr>
          <w:rFonts w:hint="eastAsia" w:ascii="仿宋" w:hAnsi="仿宋" w:eastAsia="仿宋" w:cs="仿宋"/>
          <w:i w:val="0"/>
          <w:caps w:val="0"/>
          <w:color w:val="auto"/>
          <w:spacing w:val="8"/>
          <w:sz w:val="30"/>
          <w:szCs w:val="30"/>
          <w:lang w:val="en-US" w:eastAsia="zh-CN"/>
        </w:rPr>
        <w:t>台”</w:t>
      </w:r>
      <w:r>
        <w:rPr>
          <w:rFonts w:hint="eastAsia" w:ascii="仿宋" w:hAnsi="仿宋" w:eastAsia="仿宋" w:cs="仿宋"/>
          <w:i w:val="0"/>
          <w:caps w:val="0"/>
          <w:color w:val="auto"/>
          <w:spacing w:val="8"/>
          <w:sz w:val="30"/>
          <w:szCs w:val="30"/>
          <w:lang w:eastAsia="zh-CN"/>
        </w:rPr>
        <w:t>（</w:t>
      </w:r>
      <w:r>
        <w:rPr>
          <w:rFonts w:hint="eastAsia" w:ascii="仿宋" w:hAnsi="仿宋" w:eastAsia="仿宋" w:cs="仿宋"/>
          <w:i w:val="0"/>
          <w:caps w:val="0"/>
          <w:color w:val="auto"/>
          <w:spacing w:val="8"/>
          <w:sz w:val="30"/>
          <w:szCs w:val="30"/>
          <w:lang w:eastAsia="zh-CN"/>
        </w:rPr>
        <w:fldChar w:fldCharType="begin"/>
      </w:r>
      <w:r>
        <w:rPr>
          <w:rFonts w:hint="eastAsia" w:ascii="仿宋" w:hAnsi="仿宋" w:eastAsia="仿宋" w:cs="仿宋"/>
          <w:i w:val="0"/>
          <w:caps w:val="0"/>
          <w:color w:val="auto"/>
          <w:spacing w:val="8"/>
          <w:sz w:val="30"/>
          <w:szCs w:val="30"/>
          <w:lang w:eastAsia="zh-CN"/>
        </w:rPr>
        <w:instrText xml:space="preserve"> HYPERLINK "http://zwfw.safe.gov.cn/asone/" \t "https://email.cmbchina.com/_blank" </w:instrText>
      </w:r>
      <w:r>
        <w:rPr>
          <w:rFonts w:hint="eastAsia" w:ascii="仿宋" w:hAnsi="仿宋" w:eastAsia="仿宋" w:cs="仿宋"/>
          <w:i w:val="0"/>
          <w:caps w:val="0"/>
          <w:color w:val="auto"/>
          <w:spacing w:val="8"/>
          <w:sz w:val="30"/>
          <w:szCs w:val="30"/>
          <w:lang w:eastAsia="zh-CN"/>
        </w:rPr>
        <w:fldChar w:fldCharType="separate"/>
      </w:r>
      <w:r>
        <w:rPr>
          <w:rFonts w:hint="eastAsia" w:ascii="仿宋" w:hAnsi="仿宋" w:eastAsia="仿宋" w:cs="仿宋"/>
          <w:i w:val="0"/>
          <w:caps w:val="0"/>
          <w:color w:val="auto"/>
          <w:spacing w:val="8"/>
          <w:sz w:val="30"/>
          <w:szCs w:val="30"/>
          <w:lang w:eastAsia="zh-CN"/>
        </w:rPr>
        <w:t>http://zwfw.safe.gov.cn/asone/</w:t>
      </w:r>
      <w:r>
        <w:rPr>
          <w:rFonts w:hint="eastAsia" w:ascii="仿宋" w:hAnsi="仿宋" w:eastAsia="仿宋" w:cs="仿宋"/>
          <w:i w:val="0"/>
          <w:caps w:val="0"/>
          <w:color w:val="auto"/>
          <w:spacing w:val="8"/>
          <w:sz w:val="30"/>
          <w:szCs w:val="30"/>
          <w:lang w:eastAsia="zh-CN"/>
        </w:rPr>
        <w:fldChar w:fldCharType="end"/>
      </w:r>
      <w:r>
        <w:rPr>
          <w:rFonts w:hint="eastAsia" w:ascii="仿宋" w:hAnsi="仿宋" w:eastAsia="仿宋" w:cs="仿宋"/>
          <w:i w:val="0"/>
          <w:caps w:val="0"/>
          <w:color w:val="auto"/>
          <w:spacing w:val="8"/>
          <w:sz w:val="30"/>
          <w:szCs w:val="30"/>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eastAsia="zh-CN"/>
        </w:rPr>
        <w:t>企业登录机构代码为：营业执照统一社会信用代码第9-17位</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eastAsia="zh-CN"/>
        </w:rPr>
        <w:t>用户代码：quanyidj</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eastAsia="zh-CN"/>
        </w:rPr>
        <w:t>初始密码：20150101Aa</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eastAsia="zh-CN"/>
        </w:rPr>
        <w:t>若企业修改过密码，请使用新密码。</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eastAsia="zh-CN"/>
        </w:rPr>
        <w:t>（如忘记密码，可通过企业</w:t>
      </w:r>
      <w:r>
        <w:rPr>
          <w:rFonts w:hint="eastAsia" w:ascii="仿宋" w:hAnsi="仿宋" w:eastAsia="仿宋" w:cs="仿宋"/>
          <w:i w:val="0"/>
          <w:caps w:val="0"/>
          <w:color w:val="auto"/>
          <w:spacing w:val="8"/>
          <w:sz w:val="30"/>
          <w:szCs w:val="30"/>
          <w:lang w:val="en-US" w:eastAsia="zh-CN"/>
        </w:rPr>
        <w:t>ba账号重置</w:t>
      </w:r>
      <w:r>
        <w:rPr>
          <w:rFonts w:hint="eastAsia" w:ascii="仿宋" w:hAnsi="仿宋" w:eastAsia="仿宋" w:cs="仿宋"/>
          <w:i w:val="0"/>
          <w:caps w:val="0"/>
          <w:color w:val="auto"/>
          <w:spacing w:val="8"/>
          <w:sz w:val="30"/>
          <w:szCs w:val="30"/>
          <w:lang w:eastAsia="zh-CN"/>
        </w:rPr>
        <w:t>quanyidj账号</w:t>
      </w:r>
      <w:r>
        <w:rPr>
          <w:rFonts w:hint="eastAsia" w:ascii="仿宋" w:hAnsi="仿宋" w:eastAsia="仿宋" w:cs="仿宋"/>
          <w:i w:val="0"/>
          <w:caps w:val="0"/>
          <w:color w:val="auto"/>
          <w:spacing w:val="8"/>
          <w:sz w:val="30"/>
          <w:szCs w:val="30"/>
          <w:lang w:val="en-US" w:eastAsia="zh-CN"/>
        </w:rPr>
        <w:t>密码，然后登录</w:t>
      </w:r>
      <w:r>
        <w:rPr>
          <w:rFonts w:hint="eastAsia" w:ascii="仿宋" w:hAnsi="仿宋" w:eastAsia="仿宋" w:cs="仿宋"/>
          <w:i w:val="0"/>
          <w:caps w:val="0"/>
          <w:color w:val="auto"/>
          <w:spacing w:val="8"/>
          <w:sz w:val="30"/>
          <w:szCs w:val="30"/>
          <w:lang w:eastAsia="zh-CN"/>
        </w:rPr>
        <w:t>quanyidj账号申报）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（2）</w:t>
      </w:r>
      <w:r>
        <w:rPr>
          <w:rFonts w:hint="eastAsia" w:ascii="仿宋" w:hAnsi="仿宋" w:eastAsia="仿宋" w:cs="仿宋"/>
          <w:i w:val="0"/>
          <w:caps w:val="0"/>
          <w:color w:val="auto"/>
          <w:spacing w:val="8"/>
          <w:sz w:val="30"/>
          <w:szCs w:val="30"/>
          <w:lang w:eastAsia="zh-CN"/>
        </w:rPr>
        <w:t>登录系统依次点击“数据申报”-“存量权益”-“ODI存量权益登记”。选择对应年份，点击“查询”按钮，选中未申报记录，点击“新建/修改”按钮，完成“</w:t>
      </w:r>
      <w:r>
        <w:rPr>
          <w:rFonts w:hint="eastAsia" w:ascii="仿宋" w:hAnsi="仿宋" w:eastAsia="仿宋" w:cs="仿宋"/>
          <w:i w:val="0"/>
          <w:caps w:val="0"/>
          <w:color w:val="auto"/>
          <w:spacing w:val="8"/>
          <w:sz w:val="30"/>
          <w:szCs w:val="30"/>
          <w:lang w:val="en-US" w:eastAsia="zh-CN"/>
        </w:rPr>
        <w:t>境外投资企业基本信息情况表</w:t>
      </w:r>
      <w:r>
        <w:rPr>
          <w:rFonts w:hint="eastAsia" w:ascii="仿宋" w:hAnsi="仿宋" w:eastAsia="仿宋" w:cs="仿宋"/>
          <w:i w:val="0"/>
          <w:caps w:val="0"/>
          <w:color w:val="auto"/>
          <w:spacing w:val="8"/>
          <w:sz w:val="30"/>
          <w:szCs w:val="30"/>
          <w:lang w:eastAsia="zh-CN"/>
        </w:rPr>
        <w:t>”</w:t>
      </w:r>
      <w:r>
        <w:rPr>
          <w:rFonts w:hint="eastAsia" w:ascii="仿宋" w:hAnsi="仿宋" w:eastAsia="仿宋" w:cs="仿宋"/>
          <w:i w:val="0"/>
          <w:caps w:val="0"/>
          <w:color w:val="auto"/>
          <w:spacing w:val="8"/>
          <w:sz w:val="30"/>
          <w:szCs w:val="30"/>
          <w:lang w:val="en-US" w:eastAsia="zh-CN"/>
        </w:rPr>
        <w:t>和</w:t>
      </w:r>
      <w:r>
        <w:rPr>
          <w:rFonts w:hint="eastAsia" w:ascii="仿宋" w:hAnsi="仿宋" w:eastAsia="仿宋" w:cs="仿宋"/>
          <w:i w:val="0"/>
          <w:caps w:val="0"/>
          <w:color w:val="auto"/>
          <w:spacing w:val="8"/>
          <w:sz w:val="30"/>
          <w:szCs w:val="30"/>
          <w:lang w:eastAsia="zh-CN"/>
        </w:rPr>
        <w:t>“</w:t>
      </w:r>
      <w:r>
        <w:rPr>
          <w:rFonts w:hint="eastAsia" w:ascii="仿宋" w:hAnsi="仿宋" w:eastAsia="仿宋" w:cs="仿宋"/>
          <w:i w:val="0"/>
          <w:caps w:val="0"/>
          <w:color w:val="auto"/>
          <w:spacing w:val="8"/>
          <w:sz w:val="30"/>
          <w:szCs w:val="30"/>
          <w:lang w:val="en-US" w:eastAsia="zh-CN"/>
        </w:rPr>
        <w:t>境外直接投资中方权益统计表</w:t>
      </w:r>
      <w:r>
        <w:rPr>
          <w:rFonts w:hint="eastAsia" w:ascii="仿宋" w:hAnsi="仿宋" w:eastAsia="仿宋" w:cs="仿宋"/>
          <w:i w:val="0"/>
          <w:caps w:val="0"/>
          <w:color w:val="auto"/>
          <w:spacing w:val="8"/>
          <w:sz w:val="30"/>
          <w:szCs w:val="30"/>
          <w:lang w:eastAsia="zh-CN"/>
        </w:rPr>
        <w:t>”</w:t>
      </w:r>
      <w:r>
        <w:rPr>
          <w:rFonts w:hint="eastAsia" w:ascii="仿宋" w:hAnsi="仿宋" w:eastAsia="仿宋" w:cs="仿宋"/>
          <w:i w:val="0"/>
          <w:caps w:val="0"/>
          <w:color w:val="auto"/>
          <w:spacing w:val="8"/>
          <w:sz w:val="30"/>
          <w:szCs w:val="30"/>
          <w:lang w:val="en-US" w:eastAsia="zh-CN"/>
        </w:rPr>
        <w:t>的信息</w:t>
      </w:r>
      <w:r>
        <w:rPr>
          <w:rFonts w:hint="eastAsia" w:ascii="仿宋" w:hAnsi="仿宋" w:eastAsia="仿宋" w:cs="仿宋"/>
          <w:i w:val="0"/>
          <w:caps w:val="0"/>
          <w:color w:val="auto"/>
          <w:spacing w:val="8"/>
          <w:sz w:val="30"/>
          <w:szCs w:val="30"/>
          <w:lang w:eastAsia="zh-CN"/>
        </w:rPr>
        <w:t>填报，点击“保存”即可。如果企业以往年度未申报，需先选择对应年度补申报。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（3）企业完成登记后，发现填报错误，可以重新申报，原申报数据将被覆盖。</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2.委托银行代为申报</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境外投资企业的境内投资主体如委托银行报送数据，则需向银行提供加盖企业公章（境内个人签章）的《**年度境外直接投资中方权益统计表》。</w:t>
      </w:r>
    </w:p>
    <w:p>
      <w:pPr>
        <w:pStyle w:val="3"/>
        <w:keepNext w:val="0"/>
        <w:keepLines w:val="0"/>
        <w:pageBreakBefore w:val="0"/>
        <w:widowControl/>
        <w:numPr>
          <w:ilvl w:val="0"/>
          <w:numId w:val="0"/>
        </w:numPr>
        <w:suppressLineNumbers w:val="0"/>
        <w:tabs>
          <w:tab w:val="left" w:pos="312"/>
        </w:tabs>
        <w:kinsoku/>
        <w:wordWrap/>
        <w:overflowPunct/>
        <w:topLinePunct w:val="0"/>
        <w:autoSpaceDE/>
        <w:autoSpaceDN/>
        <w:bidi w:val="0"/>
        <w:adjustRightInd/>
        <w:snapToGrid/>
        <w:spacing w:before="0" w:beforeLines="0" w:beforeAutospacing="0" w:after="0" w:afterLines="0" w:afterAutospacing="0" w:line="240" w:lineRule="auto"/>
        <w:ind w:leftChars="200" w:right="0" w:rightChars="0"/>
        <w:jc w:val="both"/>
        <w:textAlignment w:val="auto"/>
        <w:outlineLvl w:val="9"/>
        <w:rPr>
          <w:rFonts w:hint="eastAsia" w:ascii="仿宋" w:hAnsi="仿宋" w:eastAsia="仿宋" w:cs="仿宋"/>
          <w:b/>
          <w:bCs/>
          <w:i w:val="0"/>
          <w:caps w:val="0"/>
          <w:color w:val="auto"/>
          <w:spacing w:val="8"/>
          <w:sz w:val="30"/>
          <w:szCs w:val="30"/>
          <w:lang w:val="en-US" w:eastAsia="zh-CN"/>
        </w:rPr>
      </w:pPr>
      <w:r>
        <w:rPr>
          <w:rFonts w:hint="eastAsia" w:ascii="仿宋" w:hAnsi="仿宋" w:eastAsia="仿宋" w:cs="仿宋"/>
          <w:b/>
          <w:bCs/>
          <w:i w:val="0"/>
          <w:caps w:val="0"/>
          <w:color w:val="auto"/>
          <w:spacing w:val="8"/>
          <w:sz w:val="30"/>
          <w:szCs w:val="30"/>
          <w:lang w:val="en-US" w:eastAsia="zh-CN"/>
        </w:rPr>
        <w:t>四、申报内容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32" w:firstLineChars="200"/>
        <w:jc w:val="both"/>
        <w:textAlignment w:val="auto"/>
        <w:outlineLvl w:val="9"/>
        <w:rPr>
          <w:rFonts w:hint="eastAsia" w:ascii="仿宋" w:hAnsi="仿宋" w:eastAsia="仿宋" w:cs="仿宋"/>
          <w:i w:val="0"/>
          <w:caps w:val="0"/>
          <w:color w:val="auto"/>
          <w:spacing w:val="8"/>
          <w:kern w:val="0"/>
          <w:sz w:val="30"/>
          <w:szCs w:val="30"/>
          <w:lang w:val="en-US" w:eastAsia="zh-CN" w:bidi="ar"/>
        </w:rPr>
      </w:pPr>
      <w:r>
        <w:rPr>
          <w:rFonts w:hint="eastAsia" w:ascii="仿宋" w:hAnsi="仿宋" w:eastAsia="仿宋" w:cs="仿宋"/>
          <w:i w:val="0"/>
          <w:caps w:val="0"/>
          <w:color w:val="auto"/>
          <w:spacing w:val="8"/>
          <w:kern w:val="0"/>
          <w:sz w:val="30"/>
          <w:szCs w:val="30"/>
          <w:lang w:val="en-US" w:eastAsia="zh-CN" w:bidi="ar"/>
        </w:rPr>
        <w:t>上年度境外直接投资存量权益数据，包括上年度境外投资企业的资产、负债、所有者权益相关数据。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宋体" w:hAnsi="宋体" w:eastAsia="宋体" w:cs="宋体"/>
          <w:i w:val="0"/>
          <w:caps w:val="0"/>
          <w:color w:val="auto"/>
          <w:spacing w:val="8"/>
          <w:sz w:val="30"/>
          <w:szCs w:val="30"/>
          <w:lang w:val="en-US" w:eastAsia="zh-CN"/>
        </w:rPr>
        <w:t>※</w:t>
      </w:r>
      <w:r>
        <w:rPr>
          <w:rFonts w:hint="eastAsia" w:ascii="仿宋" w:hAnsi="仿宋" w:eastAsia="仿宋" w:cs="仿宋"/>
          <w:i w:val="0"/>
          <w:caps w:val="0"/>
          <w:color w:val="auto"/>
          <w:spacing w:val="8"/>
          <w:sz w:val="30"/>
          <w:szCs w:val="30"/>
          <w:lang w:eastAsia="zh-CN"/>
        </w:rPr>
        <w:t>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kern w:val="0"/>
          <w:sz w:val="30"/>
          <w:szCs w:val="30"/>
          <w:lang w:val="en-US" w:eastAsia="zh-CN" w:bidi="ar"/>
        </w:rPr>
      </w:pPr>
      <w:r>
        <w:rPr>
          <w:rFonts w:hint="eastAsia" w:ascii="仿宋" w:hAnsi="仿宋" w:eastAsia="仿宋" w:cs="仿宋"/>
          <w:i w:val="0"/>
          <w:caps w:val="0"/>
          <w:color w:val="auto"/>
          <w:spacing w:val="8"/>
          <w:kern w:val="0"/>
          <w:sz w:val="30"/>
          <w:szCs w:val="30"/>
          <w:lang w:val="en-US" w:eastAsia="zh-CN" w:bidi="ar"/>
        </w:rPr>
        <w:t>1.境外投资企业的境内投资主体应对数据信息的真实性、准确性负责。境外投资企业的境内投资主体所在地外汇局负责事后对相关境外直接投资存量权益登记信息内容进行抽查，并依法处理违规情况。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val="en-US" w:eastAsia="zh-CN"/>
        </w:rPr>
        <w:t>2.</w:t>
      </w:r>
      <w:r>
        <w:rPr>
          <w:rFonts w:hint="eastAsia" w:ascii="仿宋" w:hAnsi="仿宋" w:eastAsia="仿宋" w:cs="仿宋"/>
          <w:i w:val="0"/>
          <w:caps w:val="0"/>
          <w:color w:val="auto"/>
          <w:spacing w:val="8"/>
          <w:sz w:val="30"/>
          <w:szCs w:val="30"/>
          <w:lang w:eastAsia="zh-CN"/>
        </w:rPr>
        <w:t>一共需两张表格，“境外投资企业基本信息情况表”和“境外直接投资中方权益统计表”；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3.认真阅读《**年度境外直接投资中方权益统计表》下方的“填写须知”，特别注意：ODI填报计价币种为美元、并注意填报折算汇率、数据统计口径等信息，打*的必填；</w:t>
      </w:r>
      <w:bookmarkStart w:id="4" w:name="_GoBack"/>
      <w:bookmarkEnd w:id="4"/>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val="en-US" w:eastAsia="zh-CN"/>
        </w:rPr>
        <w:t>4.</w:t>
      </w:r>
      <w:r>
        <w:rPr>
          <w:rFonts w:hint="eastAsia" w:ascii="仿宋" w:hAnsi="仿宋" w:eastAsia="仿宋" w:cs="仿宋"/>
          <w:i w:val="0"/>
          <w:caps w:val="0"/>
          <w:color w:val="auto"/>
          <w:spacing w:val="8"/>
          <w:sz w:val="30"/>
          <w:szCs w:val="30"/>
          <w:lang w:eastAsia="zh-CN"/>
        </w:rPr>
        <w:t>《境外直接投资中方权益统计表》中境内股东持股比例为合计数，可直接填写百分比数据（如中方</w:t>
      </w:r>
      <w:r>
        <w:rPr>
          <w:rFonts w:hint="eastAsia" w:ascii="仿宋" w:hAnsi="仿宋" w:eastAsia="仿宋" w:cs="仿宋"/>
          <w:i w:val="0"/>
          <w:caps w:val="0"/>
          <w:color w:val="auto"/>
          <w:spacing w:val="8"/>
          <w:sz w:val="30"/>
          <w:szCs w:val="30"/>
          <w:lang w:val="en-US" w:eastAsia="zh-CN"/>
        </w:rPr>
        <w:t>100%持股则在该栏填写“100”即可</w:t>
      </w:r>
      <w:r>
        <w:rPr>
          <w:rFonts w:hint="eastAsia" w:ascii="仿宋" w:hAnsi="仿宋" w:eastAsia="仿宋" w:cs="仿宋"/>
          <w:i w:val="0"/>
          <w:caps w:val="0"/>
          <w:color w:val="auto"/>
          <w:spacing w:val="8"/>
          <w:sz w:val="30"/>
          <w:szCs w:val="30"/>
          <w:lang w:eastAsia="zh-CN"/>
        </w:rPr>
        <w:t>），该数据需与企业外汇登记信息一致；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5.</w:t>
      </w:r>
      <w:r>
        <w:rPr>
          <w:rFonts w:hint="eastAsia" w:ascii="仿宋" w:hAnsi="仿宋" w:eastAsia="仿宋" w:cs="仿宋"/>
          <w:i w:val="0"/>
          <w:caps w:val="0"/>
          <w:color w:val="auto"/>
          <w:spacing w:val="8"/>
          <w:sz w:val="30"/>
          <w:szCs w:val="30"/>
          <w:lang w:eastAsia="zh-CN"/>
        </w:rPr>
        <w:t>资产、负债及权益等信息，本年度期初数理论上应与上一年度期末数一致，如上一年度申报有误，需先重新申报上一年度数据</w:t>
      </w:r>
      <w:r>
        <w:rPr>
          <w:rFonts w:hint="eastAsia" w:ascii="仿宋" w:hAnsi="仿宋" w:eastAsia="仿宋" w:cs="仿宋"/>
          <w:i w:val="0"/>
          <w:caps w:val="0"/>
          <w:color w:val="auto"/>
          <w:spacing w:val="8"/>
          <w:sz w:val="30"/>
          <w:szCs w:val="30"/>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eastAsia="zh-CN"/>
        </w:rPr>
      </w:pPr>
      <w:r>
        <w:rPr>
          <w:rFonts w:hint="eastAsia" w:ascii="仿宋" w:hAnsi="仿宋" w:eastAsia="仿宋" w:cs="仿宋"/>
          <w:i w:val="0"/>
          <w:caps w:val="0"/>
          <w:color w:val="auto"/>
          <w:spacing w:val="8"/>
          <w:sz w:val="30"/>
          <w:szCs w:val="30"/>
          <w:lang w:val="en-US" w:eastAsia="zh-CN"/>
        </w:rPr>
        <w:t>6.</w:t>
      </w:r>
      <w:r>
        <w:rPr>
          <w:rFonts w:hint="eastAsia" w:ascii="仿宋" w:hAnsi="仿宋" w:eastAsia="仿宋" w:cs="仿宋"/>
          <w:i w:val="0"/>
          <w:caps w:val="0"/>
          <w:color w:val="auto"/>
          <w:spacing w:val="8"/>
          <w:sz w:val="30"/>
          <w:szCs w:val="30"/>
          <w:lang w:eastAsia="zh-CN"/>
        </w:rPr>
        <w:t>如企业填写数据均为“</w:t>
      </w:r>
      <w:r>
        <w:rPr>
          <w:rFonts w:hint="eastAsia" w:ascii="仿宋" w:hAnsi="仿宋" w:eastAsia="仿宋" w:cs="仿宋"/>
          <w:i w:val="0"/>
          <w:caps w:val="0"/>
          <w:color w:val="auto"/>
          <w:spacing w:val="8"/>
          <w:sz w:val="30"/>
          <w:szCs w:val="30"/>
          <w:lang w:val="en-US" w:eastAsia="zh-CN"/>
        </w:rPr>
        <w:t>0</w:t>
      </w:r>
      <w:r>
        <w:rPr>
          <w:rFonts w:hint="eastAsia" w:ascii="仿宋" w:hAnsi="仿宋" w:eastAsia="仿宋" w:cs="仿宋"/>
          <w:i w:val="0"/>
          <w:caps w:val="0"/>
          <w:color w:val="auto"/>
          <w:spacing w:val="8"/>
          <w:sz w:val="30"/>
          <w:szCs w:val="30"/>
          <w:lang w:eastAsia="zh-CN"/>
        </w:rPr>
        <w:t>”，则需在“境外直接投资中方权益统计表”的备注栏填写数据为“</w:t>
      </w:r>
      <w:r>
        <w:rPr>
          <w:rFonts w:hint="eastAsia" w:ascii="仿宋" w:hAnsi="仿宋" w:eastAsia="仿宋" w:cs="仿宋"/>
          <w:i w:val="0"/>
          <w:caps w:val="0"/>
          <w:color w:val="auto"/>
          <w:spacing w:val="8"/>
          <w:sz w:val="30"/>
          <w:szCs w:val="30"/>
          <w:lang w:val="en-US" w:eastAsia="zh-CN"/>
        </w:rPr>
        <w:t>0</w:t>
      </w:r>
      <w:r>
        <w:rPr>
          <w:rFonts w:hint="eastAsia" w:ascii="仿宋" w:hAnsi="仿宋" w:eastAsia="仿宋" w:cs="仿宋"/>
          <w:i w:val="0"/>
          <w:caps w:val="0"/>
          <w:color w:val="auto"/>
          <w:spacing w:val="8"/>
          <w:sz w:val="30"/>
          <w:szCs w:val="30"/>
          <w:lang w:eastAsia="zh-CN"/>
        </w:rPr>
        <w:t>”的理由，点击保存后系统提示“是否返回修改”，选择“否”。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申报过程中如有疑问，可咨询：0592-5890925</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r>
        <w:rPr>
          <w:rFonts w:hint="eastAsia" w:ascii="仿宋" w:hAnsi="仿宋" w:eastAsia="仿宋" w:cs="仿宋"/>
          <w:i w:val="0"/>
          <w:caps w:val="0"/>
          <w:color w:val="auto"/>
          <w:spacing w:val="8"/>
          <w:sz w:val="30"/>
          <w:szCs w:val="30"/>
          <w:lang w:val="en-US" w:eastAsia="zh-CN"/>
        </w:rPr>
        <w:t>附件：《**年度境外直接投资中方权益统计表》</w:t>
      </w:r>
    </w:p>
    <w:p>
      <w:pPr>
        <w:rPr>
          <w:rFonts w:ascii="Times New Roman" w:hAnsi="Times New Roman"/>
          <w:color w:val="auto"/>
          <w:sz w:val="28"/>
          <w:szCs w:val="28"/>
        </w:rPr>
      </w:pPr>
      <w:bookmarkStart w:id="0" w:name="_Toc54703100"/>
      <w:bookmarkStart w:id="1" w:name="_Toc41311933"/>
      <w:bookmarkStart w:id="2" w:name="_Toc39756176"/>
      <w:bookmarkStart w:id="3" w:name="_Toc492328601"/>
      <w:r>
        <w:rPr>
          <w:rFonts w:ascii="Times New Roman" w:hAnsi="Times New Roman"/>
          <w:color w:val="auto"/>
          <w:sz w:val="28"/>
          <w:szCs w:val="28"/>
        </w:rPr>
        <w:br w:type="page"/>
      </w:r>
    </w:p>
    <w:p>
      <w:pPr>
        <w:pStyle w:val="2"/>
        <w:spacing w:before="0" w:after="0" w:line="240" w:lineRule="auto"/>
        <w:jc w:val="center"/>
        <w:rPr>
          <w:rFonts w:ascii="Times New Roman" w:hAnsi="Times New Roman"/>
          <w:color w:val="auto"/>
          <w:sz w:val="28"/>
          <w:szCs w:val="28"/>
        </w:rPr>
      </w:pPr>
      <w:r>
        <w:rPr>
          <w:rFonts w:ascii="Times New Roman" w:hAnsi="Times New Roman"/>
          <w:color w:val="auto"/>
          <w:sz w:val="28"/>
          <w:szCs w:val="28"/>
        </w:rPr>
        <w:t xml:space="preserve"> **</w:t>
      </w:r>
      <w:r>
        <w:rPr>
          <w:rFonts w:hint="eastAsia" w:ascii="Times New Roman" w:hAnsi="Times New Roman"/>
          <w:color w:val="auto"/>
          <w:sz w:val="28"/>
          <w:szCs w:val="28"/>
        </w:rPr>
        <w:t>年度境外直接投资中方权益统计表</w:t>
      </w:r>
      <w:bookmarkEnd w:id="0"/>
      <w:bookmarkEnd w:id="1"/>
      <w:bookmarkEnd w:id="2"/>
      <w:bookmarkEnd w:id="3"/>
    </w:p>
    <w:p>
      <w:pPr>
        <w:spacing w:line="240" w:lineRule="atLeast"/>
        <w:ind w:firstLine="482"/>
        <w:jc w:val="right"/>
        <w:rPr>
          <w:rFonts w:eastAsia="仿宋_GB2312"/>
          <w:color w:val="auto"/>
          <w:sz w:val="24"/>
        </w:rPr>
      </w:pPr>
      <w:r>
        <w:rPr>
          <w:rFonts w:hint="eastAsia" w:eastAsia="仿宋_GB2312"/>
          <w:color w:val="auto"/>
          <w:sz w:val="24"/>
        </w:rPr>
        <w:t>金额单位：美元</w:t>
      </w:r>
    </w:p>
    <w:tbl>
      <w:tblPr>
        <w:tblStyle w:val="4"/>
        <w:tblW w:w="8379" w:type="dxa"/>
        <w:tblInd w:w="-10" w:type="dxa"/>
        <w:tblLayout w:type="fixed"/>
        <w:tblCellMar>
          <w:top w:w="0" w:type="dxa"/>
          <w:left w:w="0" w:type="dxa"/>
          <w:bottom w:w="0" w:type="dxa"/>
          <w:right w:w="0" w:type="dxa"/>
        </w:tblCellMar>
      </w:tblPr>
      <w:tblGrid>
        <w:gridCol w:w="5827"/>
        <w:gridCol w:w="1276"/>
        <w:gridCol w:w="1276"/>
      </w:tblGrid>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center"/>
              <w:rPr>
                <w:b/>
                <w:color w:val="auto"/>
                <w:kern w:val="0"/>
                <w:sz w:val="24"/>
              </w:rPr>
            </w:pPr>
            <w:r>
              <w:rPr>
                <w:rFonts w:hint="eastAsia"/>
                <w:b/>
                <w:color w:val="auto"/>
                <w:kern w:val="0"/>
                <w:sz w:val="24"/>
              </w:rPr>
              <w:t>境内股东持股比例</w:t>
            </w:r>
          </w:p>
        </w:tc>
        <w:tc>
          <w:tcPr>
            <w:tcW w:w="2552" w:type="dxa"/>
            <w:gridSpan w:val="2"/>
            <w:tcBorders>
              <w:top w:val="single" w:color="auto" w:sz="4" w:space="0"/>
              <w:left w:val="nil"/>
              <w:bottom w:val="single" w:color="auto" w:sz="4" w:space="0"/>
              <w:right w:val="single" w:color="auto" w:sz="4" w:space="0"/>
            </w:tcBorders>
            <w:vAlign w:val="center"/>
          </w:tcPr>
          <w:p>
            <w:pPr>
              <w:keepNext/>
              <w:keepLines/>
              <w:widowControl/>
              <w:jc w:val="center"/>
              <w:outlineLvl w:val="0"/>
              <w:rPr>
                <w:b/>
                <w:color w:val="auto"/>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center"/>
              <w:rPr>
                <w:b/>
                <w:color w:val="auto"/>
                <w:kern w:val="0"/>
                <w:sz w:val="24"/>
              </w:rPr>
            </w:pPr>
            <w:r>
              <w:rPr>
                <w:rFonts w:hint="eastAsia"/>
                <w:b/>
                <w:color w:val="auto"/>
                <w:kern w:val="0"/>
                <w:sz w:val="24"/>
              </w:rPr>
              <w:t>指标</w:t>
            </w:r>
          </w:p>
        </w:tc>
        <w:tc>
          <w:tcPr>
            <w:tcW w:w="1276" w:type="dxa"/>
            <w:tcBorders>
              <w:top w:val="single" w:color="auto" w:sz="4" w:space="0"/>
              <w:left w:val="nil"/>
              <w:bottom w:val="single" w:color="auto" w:sz="4" w:space="0"/>
              <w:right w:val="single" w:color="auto" w:sz="4" w:space="0"/>
            </w:tcBorders>
            <w:vAlign w:val="center"/>
          </w:tcPr>
          <w:p>
            <w:pPr>
              <w:widowControl/>
              <w:jc w:val="center"/>
              <w:rPr>
                <w:b/>
                <w:color w:val="auto"/>
                <w:kern w:val="0"/>
                <w:sz w:val="24"/>
              </w:rPr>
            </w:pPr>
            <w:r>
              <w:rPr>
                <w:rFonts w:hint="eastAsia"/>
                <w:b/>
                <w:color w:val="auto"/>
                <w:kern w:val="0"/>
                <w:sz w:val="24"/>
              </w:rPr>
              <w:t>期初数</w:t>
            </w:r>
          </w:p>
        </w:tc>
        <w:tc>
          <w:tcPr>
            <w:tcW w:w="1276" w:type="dxa"/>
            <w:tcBorders>
              <w:top w:val="single" w:color="auto" w:sz="4" w:space="0"/>
              <w:left w:val="nil"/>
              <w:bottom w:val="single" w:color="auto" w:sz="4" w:space="0"/>
              <w:right w:val="single" w:color="auto" w:sz="4" w:space="0"/>
            </w:tcBorders>
            <w:vAlign w:val="center"/>
          </w:tcPr>
          <w:p>
            <w:pPr>
              <w:widowControl/>
              <w:jc w:val="center"/>
              <w:rPr>
                <w:b/>
                <w:color w:val="auto"/>
                <w:kern w:val="0"/>
                <w:sz w:val="24"/>
              </w:rPr>
            </w:pPr>
            <w:r>
              <w:rPr>
                <w:rFonts w:hint="eastAsia"/>
                <w:b/>
                <w:color w:val="auto"/>
                <w:kern w:val="0"/>
                <w:sz w:val="24"/>
              </w:rPr>
              <w:t>期末数</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一、境外投资企业资产合计</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color w:val="auto"/>
                <w:kern w:val="0"/>
                <w:sz w:val="24"/>
              </w:rPr>
            </w:pPr>
            <w:r>
              <w:rPr>
                <w:rFonts w:hint="eastAsia"/>
                <w:color w:val="auto"/>
                <w:kern w:val="0"/>
                <w:sz w:val="24"/>
              </w:rPr>
              <w:t>其中：流动资产</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color w:val="auto"/>
                <w:kern w:val="0"/>
                <w:sz w:val="24"/>
              </w:rPr>
            </w:pPr>
            <w:r>
              <w:rPr>
                <w:rFonts w:hint="eastAsia"/>
                <w:color w:val="auto"/>
                <w:kern w:val="0"/>
                <w:sz w:val="24"/>
              </w:rPr>
              <w:t>非流动资产</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二、境外投资企业负债合计</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color w:val="auto"/>
                <w:kern w:val="0"/>
                <w:sz w:val="24"/>
              </w:rPr>
            </w:pPr>
            <w:r>
              <w:rPr>
                <w:rFonts w:hint="eastAsia"/>
                <w:color w:val="auto"/>
                <w:kern w:val="0"/>
                <w:sz w:val="24"/>
              </w:rPr>
              <w:t>其中：短期负债</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color w:val="auto"/>
                <w:kern w:val="0"/>
                <w:sz w:val="24"/>
              </w:rPr>
            </w:pPr>
            <w:r>
              <w:rPr>
                <w:rFonts w:hint="eastAsia"/>
                <w:color w:val="auto"/>
                <w:kern w:val="0"/>
                <w:sz w:val="24"/>
              </w:rPr>
              <w:t>长期负债</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三、归属于境外投资企业全体股东的权益</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color w:val="auto"/>
                <w:kern w:val="0"/>
                <w:sz w:val="24"/>
              </w:rPr>
            </w:pPr>
            <w:r>
              <w:rPr>
                <w:rFonts w:hint="eastAsia"/>
                <w:color w:val="auto"/>
                <w:kern w:val="0"/>
                <w:sz w:val="24"/>
              </w:rPr>
              <w:t>其中：归属中方股东的权益</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color w:val="auto"/>
                <w:kern w:val="0"/>
                <w:sz w:val="24"/>
              </w:rPr>
            </w:pPr>
            <w:r>
              <w:rPr>
                <w:rFonts w:hint="eastAsia"/>
                <w:color w:val="auto"/>
                <w:kern w:val="0"/>
                <w:sz w:val="24"/>
              </w:rPr>
              <w:t>　其中：归属中方股东的未分配利润余额</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四、境外投资企业应付中方股利</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五、境外投资企业盈利情况</w:t>
            </w:r>
          </w:p>
        </w:tc>
        <w:tc>
          <w:tcPr>
            <w:tcW w:w="1276" w:type="dxa"/>
            <w:tcBorders>
              <w:top w:val="single" w:color="auto" w:sz="4" w:space="0"/>
              <w:left w:val="nil"/>
              <w:bottom w:val="single" w:color="auto" w:sz="4" w:space="0"/>
              <w:right w:val="single" w:color="auto" w:sz="4" w:space="0"/>
            </w:tcBorders>
            <w:vAlign w:val="center"/>
          </w:tcPr>
          <w:p>
            <w:pPr>
              <w:widowControl/>
              <w:jc w:val="center"/>
              <w:rPr>
                <w:b/>
                <w:color w:val="auto"/>
                <w:kern w:val="0"/>
                <w:sz w:val="24"/>
              </w:rPr>
            </w:pPr>
            <w:r>
              <w:rPr>
                <w:rFonts w:hint="eastAsia"/>
                <w:b/>
                <w:color w:val="auto"/>
                <w:kern w:val="0"/>
                <w:sz w:val="24"/>
              </w:rPr>
              <w:t>上期金额</w:t>
            </w:r>
          </w:p>
        </w:tc>
        <w:tc>
          <w:tcPr>
            <w:tcW w:w="1276" w:type="dxa"/>
            <w:tcBorders>
              <w:top w:val="single" w:color="auto" w:sz="4" w:space="0"/>
              <w:left w:val="nil"/>
              <w:bottom w:val="single" w:color="auto" w:sz="4" w:space="0"/>
              <w:right w:val="single" w:color="auto" w:sz="4" w:space="0"/>
            </w:tcBorders>
            <w:vAlign w:val="center"/>
          </w:tcPr>
          <w:p>
            <w:pPr>
              <w:widowControl/>
              <w:jc w:val="center"/>
              <w:rPr>
                <w:b/>
                <w:color w:val="auto"/>
                <w:kern w:val="0"/>
                <w:sz w:val="24"/>
              </w:rPr>
            </w:pPr>
            <w:r>
              <w:rPr>
                <w:rFonts w:hint="eastAsia"/>
                <w:b/>
                <w:color w:val="auto"/>
                <w:kern w:val="0"/>
                <w:sz w:val="24"/>
              </w:rPr>
              <w:t>本期金额</w:t>
            </w:r>
          </w:p>
        </w:tc>
      </w:tr>
      <w:tr>
        <w:tblPrEx>
          <w:tblCellMar>
            <w:top w:w="0" w:type="dxa"/>
            <w:left w:w="0" w:type="dxa"/>
            <w:bottom w:w="0" w:type="dxa"/>
            <w:right w:w="0" w:type="dxa"/>
          </w:tblCellMar>
        </w:tblPrEx>
        <w:trPr>
          <w:trHeight w:val="270"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480"/>
              <w:jc w:val="left"/>
              <w:rPr>
                <w:color w:val="auto"/>
                <w:kern w:val="0"/>
                <w:sz w:val="24"/>
              </w:rPr>
            </w:pPr>
            <w:r>
              <w:rPr>
                <w:rFonts w:hint="eastAsia"/>
                <w:color w:val="auto"/>
                <w:kern w:val="0"/>
                <w:sz w:val="24"/>
              </w:rPr>
              <w:t>归属于境外投资企业全体股东的净利润</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　</w:t>
            </w:r>
          </w:p>
        </w:tc>
        <w:tc>
          <w:tcPr>
            <w:tcW w:w="1276" w:type="dxa"/>
            <w:tcBorders>
              <w:top w:val="single" w:color="auto" w:sz="4" w:space="0"/>
              <w:left w:val="nil"/>
              <w:bottom w:val="single" w:color="auto" w:sz="4" w:space="0"/>
              <w:right w:val="single" w:color="auto" w:sz="4" w:space="0"/>
            </w:tcBorders>
            <w:vAlign w:val="center"/>
          </w:tcPr>
          <w:p>
            <w:pPr>
              <w:widowControl/>
              <w:jc w:val="left"/>
              <w:rPr>
                <w:color w:val="auto"/>
                <w:kern w:val="0"/>
                <w:sz w:val="24"/>
              </w:rPr>
            </w:pPr>
          </w:p>
        </w:tc>
      </w:tr>
      <w:tr>
        <w:tblPrEx>
          <w:tblCellMar>
            <w:top w:w="0" w:type="dxa"/>
            <w:left w:w="0" w:type="dxa"/>
            <w:bottom w:w="0" w:type="dxa"/>
            <w:right w:w="0" w:type="dxa"/>
          </w:tblCellMar>
        </w:tblPrEx>
        <w:trPr>
          <w:trHeight w:val="347"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ind w:firstLine="1680" w:firstLineChars="700"/>
              <w:jc w:val="left"/>
              <w:rPr>
                <w:color w:val="auto"/>
                <w:kern w:val="0"/>
                <w:sz w:val="24"/>
              </w:rPr>
            </w:pPr>
            <w:r>
              <w:rPr>
                <w:rFonts w:hint="eastAsia"/>
                <w:color w:val="auto"/>
                <w:kern w:val="0"/>
                <w:sz w:val="24"/>
              </w:rPr>
              <w:t>其中：中方股东享有的净利润</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kern w:val="0"/>
                <w:sz w:val="24"/>
              </w:rPr>
            </w:pPr>
          </w:p>
        </w:tc>
      </w:tr>
      <w:tr>
        <w:tblPrEx>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六、境外投资企业利润分配情况</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b/>
                <w:color w:val="auto"/>
                <w:kern w:val="0"/>
                <w:sz w:val="24"/>
              </w:rPr>
            </w:pPr>
            <w:r>
              <w:rPr>
                <w:rFonts w:hint="eastAsia"/>
                <w:b/>
                <w:color w:val="auto"/>
                <w:kern w:val="0"/>
                <w:sz w:val="24"/>
              </w:rPr>
              <w:t>本期金额</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b/>
                <w:color w:val="auto"/>
                <w:kern w:val="0"/>
                <w:sz w:val="24"/>
              </w:rPr>
            </w:pPr>
            <w:r>
              <w:rPr>
                <w:rFonts w:hint="eastAsia"/>
                <w:b/>
                <w:color w:val="auto"/>
                <w:kern w:val="0"/>
                <w:sz w:val="24"/>
              </w:rPr>
              <w:t>历年累计</w:t>
            </w:r>
          </w:p>
        </w:tc>
      </w:tr>
      <w:tr>
        <w:tblPrEx>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分配中方股东的利润金额合计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kern w:val="0"/>
                <w:sz w:val="24"/>
              </w:rPr>
            </w:pPr>
          </w:p>
        </w:tc>
      </w:tr>
      <w:tr>
        <w:tblPrEx>
          <w:tblCellMar>
            <w:top w:w="0" w:type="dxa"/>
            <w:left w:w="0" w:type="dxa"/>
            <w:bottom w:w="0" w:type="dxa"/>
            <w:right w:w="0" w:type="dxa"/>
          </w:tblCellMar>
        </w:tblPrEx>
        <w:trPr>
          <w:trHeight w:val="445" w:hRule="atLeast"/>
        </w:trPr>
        <w:tc>
          <w:tcPr>
            <w:tcW w:w="5827"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24"/>
              </w:rPr>
            </w:pPr>
            <w:r>
              <w:rPr>
                <w:rFonts w:hint="eastAsia"/>
                <w:color w:val="auto"/>
                <w:kern w:val="0"/>
                <w:sz w:val="24"/>
              </w:rPr>
              <w:t>汇回中方股东的利润金额合计</w:t>
            </w: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kern w:val="0"/>
                <w:sz w:val="24"/>
              </w:rPr>
            </w:pPr>
          </w:p>
        </w:tc>
      </w:tr>
      <w:tr>
        <w:tblPrEx>
          <w:tblCellMar>
            <w:top w:w="0" w:type="dxa"/>
            <w:left w:w="0" w:type="dxa"/>
            <w:bottom w:w="0" w:type="dxa"/>
            <w:right w:w="0" w:type="dxa"/>
          </w:tblCellMar>
        </w:tblPrEx>
        <w:trPr>
          <w:trHeight w:val="445" w:hRule="atLeast"/>
        </w:trPr>
        <w:tc>
          <w:tcPr>
            <w:tcW w:w="8379" w:type="dxa"/>
            <w:gridSpan w:val="3"/>
            <w:tcBorders>
              <w:top w:val="single" w:color="auto" w:sz="4" w:space="0"/>
              <w:left w:val="single" w:color="auto" w:sz="4" w:space="0"/>
              <w:bottom w:val="single" w:color="auto" w:sz="4" w:space="0"/>
              <w:right w:val="single" w:color="auto" w:sz="4" w:space="0"/>
            </w:tcBorders>
            <w:vAlign w:val="center"/>
          </w:tcPr>
          <w:p>
            <w:pPr>
              <w:keepNext/>
              <w:keepLines/>
              <w:widowControl/>
              <w:ind w:firstLine="105" w:firstLineChars="50"/>
              <w:jc w:val="left"/>
              <w:rPr>
                <w:color w:val="auto"/>
                <w:kern w:val="0"/>
                <w:sz w:val="24"/>
              </w:rPr>
            </w:pPr>
            <w:r>
              <w:rPr>
                <w:rFonts w:hint="eastAsia"/>
                <w:b/>
                <w:color w:val="auto"/>
              </w:rPr>
              <w:t>附注（仅境外第一层级特殊目的公司填写）</w:t>
            </w:r>
          </w:p>
        </w:tc>
      </w:tr>
      <w:tr>
        <w:tblPrEx>
          <w:tblCellMar>
            <w:top w:w="0" w:type="dxa"/>
            <w:left w:w="0" w:type="dxa"/>
            <w:bottom w:w="0" w:type="dxa"/>
            <w:right w:w="0" w:type="dxa"/>
          </w:tblCellMar>
        </w:tblPrEx>
        <w:trPr>
          <w:trHeight w:val="1710" w:hRule="atLeast"/>
        </w:trPr>
        <w:tc>
          <w:tcPr>
            <w:tcW w:w="8379" w:type="dxa"/>
            <w:gridSpan w:val="3"/>
            <w:tcBorders>
              <w:top w:val="single" w:color="auto" w:sz="4" w:space="0"/>
              <w:left w:val="single" w:color="auto" w:sz="4" w:space="0"/>
              <w:bottom w:val="single" w:color="auto" w:sz="4" w:space="0"/>
              <w:right w:val="single" w:color="auto" w:sz="4" w:space="0"/>
            </w:tcBorders>
          </w:tcPr>
          <w:tbl>
            <w:tblPr>
              <w:tblStyle w:val="4"/>
              <w:tblW w:w="8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57"/>
              <w:gridCol w:w="804"/>
              <w:gridCol w:w="824"/>
              <w:gridCol w:w="1003"/>
              <w:gridCol w:w="954"/>
              <w:gridCol w:w="859"/>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jc w:val="center"/>
              </w:trPr>
              <w:tc>
                <w:tcPr>
                  <w:tcW w:w="33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rPr>
                  </w:pPr>
                  <w:r>
                    <w:rPr>
                      <w:rFonts w:hint="eastAsia"/>
                      <w:color w:val="auto"/>
                      <w:szCs w:val="21"/>
                    </w:rPr>
                    <w:t>子公司中享有的权益（期末数）</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rPr>
                  </w:pPr>
                  <w:r>
                    <w:rPr>
                      <w:rFonts w:hint="eastAsia"/>
                      <w:color w:val="auto"/>
                      <w:szCs w:val="21"/>
                    </w:rPr>
                    <w:t>应付</w:t>
                  </w:r>
                </w:p>
                <w:p>
                  <w:pPr>
                    <w:widowControl/>
                    <w:jc w:val="center"/>
                    <w:rPr>
                      <w:color w:val="auto"/>
                      <w:szCs w:val="21"/>
                    </w:rPr>
                  </w:pPr>
                  <w:r>
                    <w:rPr>
                      <w:rFonts w:hint="eastAsia"/>
                      <w:color w:val="auto"/>
                      <w:szCs w:val="21"/>
                    </w:rPr>
                    <w:t>股利</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rPr>
                  </w:pPr>
                  <w:r>
                    <w:rPr>
                      <w:rFonts w:hint="eastAsia"/>
                      <w:color w:val="auto"/>
                      <w:szCs w:val="21"/>
                    </w:rPr>
                    <w:t>实收</w:t>
                  </w:r>
                </w:p>
                <w:p>
                  <w:pPr>
                    <w:widowControl/>
                    <w:jc w:val="center"/>
                    <w:rPr>
                      <w:color w:val="auto"/>
                      <w:szCs w:val="21"/>
                    </w:rPr>
                  </w:pPr>
                  <w:r>
                    <w:rPr>
                      <w:rFonts w:hint="eastAsia"/>
                      <w:color w:val="auto"/>
                      <w:szCs w:val="21"/>
                    </w:rPr>
                    <w:t>资本</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rPr>
                  </w:pPr>
                  <w:r>
                    <w:rPr>
                      <w:rFonts w:hint="eastAsia"/>
                      <w:color w:val="auto"/>
                      <w:szCs w:val="21"/>
                    </w:rPr>
                    <w:t>未分配</w:t>
                  </w:r>
                </w:p>
                <w:p>
                  <w:pPr>
                    <w:widowControl/>
                    <w:jc w:val="center"/>
                    <w:rPr>
                      <w:color w:val="auto"/>
                      <w:szCs w:val="21"/>
                    </w:rPr>
                  </w:pPr>
                  <w:r>
                    <w:rPr>
                      <w:rFonts w:hint="eastAsia"/>
                      <w:color w:val="auto"/>
                      <w:szCs w:val="21"/>
                    </w:rPr>
                    <w:t>利润</w:t>
                  </w:r>
                </w:p>
              </w:tc>
              <w:tc>
                <w:tcPr>
                  <w:tcW w:w="954"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rPr>
                  </w:pPr>
                  <w:r>
                    <w:rPr>
                      <w:rFonts w:hint="eastAsia"/>
                      <w:color w:val="auto"/>
                      <w:szCs w:val="21"/>
                    </w:rPr>
                    <w:t>资本</w:t>
                  </w:r>
                </w:p>
                <w:p>
                  <w:pPr>
                    <w:widowControl/>
                    <w:jc w:val="center"/>
                    <w:rPr>
                      <w:color w:val="auto"/>
                      <w:szCs w:val="21"/>
                    </w:rPr>
                  </w:pPr>
                  <w:r>
                    <w:rPr>
                      <w:rFonts w:hint="eastAsia"/>
                      <w:color w:val="auto"/>
                      <w:szCs w:val="21"/>
                    </w:rPr>
                    <w:t>公积</w:t>
                  </w:r>
                </w:p>
              </w:tc>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szCs w:val="21"/>
                    </w:rPr>
                  </w:pPr>
                  <w:r>
                    <w:rPr>
                      <w:rFonts w:hint="eastAsia"/>
                      <w:color w:val="auto"/>
                      <w:szCs w:val="21"/>
                    </w:rPr>
                    <w:t>盈余</w:t>
                  </w:r>
                </w:p>
                <w:p>
                  <w:pPr>
                    <w:jc w:val="center"/>
                    <w:rPr>
                      <w:color w:val="auto"/>
                      <w:szCs w:val="21"/>
                    </w:rPr>
                  </w:pPr>
                  <w:r>
                    <w:rPr>
                      <w:rFonts w:hint="eastAsia"/>
                      <w:color w:val="auto"/>
                      <w:szCs w:val="21"/>
                    </w:rPr>
                    <w:t>公积</w:t>
                  </w:r>
                </w:p>
              </w:tc>
              <w:tc>
                <w:tcPr>
                  <w:tcW w:w="691"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1" w:hRule="atLeast"/>
                <w:jc w:val="center"/>
              </w:trPr>
              <w:tc>
                <w:tcPr>
                  <w:tcW w:w="335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jc w:val="left"/>
                    <w:outlineLvl w:val="0"/>
                    <w:rPr>
                      <w:color w:val="auto"/>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color w:val="auto"/>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color w:val="auto"/>
                      <w:szCs w:val="21"/>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color w:val="auto"/>
                      <w:szCs w:val="21"/>
                    </w:rPr>
                  </w:pPr>
                </w:p>
              </w:tc>
              <w:tc>
                <w:tcPr>
                  <w:tcW w:w="954" w:type="dxa"/>
                  <w:tcBorders>
                    <w:top w:val="single" w:color="auto" w:sz="4" w:space="0"/>
                    <w:left w:val="single" w:color="auto" w:sz="4" w:space="0"/>
                    <w:bottom w:val="single" w:color="auto" w:sz="4" w:space="0"/>
                    <w:right w:val="single" w:color="auto" w:sz="4" w:space="0"/>
                  </w:tcBorders>
                  <w:vAlign w:val="center"/>
                </w:tcPr>
                <w:p>
                  <w:pPr>
                    <w:keepNext/>
                    <w:keepLines/>
                    <w:widowControl/>
                    <w:jc w:val="center"/>
                    <w:outlineLvl w:val="0"/>
                    <w:rPr>
                      <w:color w:val="auto"/>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keepNext/>
                    <w:keepLines/>
                    <w:widowControl/>
                    <w:ind w:firstLine="480"/>
                    <w:jc w:val="center"/>
                    <w:outlineLvl w:val="0"/>
                    <w:rPr>
                      <w:color w:val="auto"/>
                      <w:szCs w:val="21"/>
                    </w:rPr>
                  </w:pPr>
                </w:p>
              </w:tc>
              <w:tc>
                <w:tcPr>
                  <w:tcW w:w="691" w:type="dxa"/>
                  <w:tcBorders>
                    <w:top w:val="single" w:color="auto" w:sz="4" w:space="0"/>
                    <w:left w:val="single" w:color="auto" w:sz="4" w:space="0"/>
                    <w:bottom w:val="single" w:color="auto" w:sz="4" w:space="0"/>
                    <w:right w:val="single" w:color="auto" w:sz="4" w:space="0"/>
                  </w:tcBorders>
                  <w:vAlign w:val="center"/>
                </w:tcPr>
                <w:p>
                  <w:pPr>
                    <w:keepNext/>
                    <w:keepLines/>
                    <w:widowControl/>
                    <w:ind w:firstLine="480"/>
                    <w:jc w:val="center"/>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8492" w:type="dxa"/>
                  <w:gridSpan w:val="7"/>
                  <w:tcBorders>
                    <w:top w:val="single" w:color="auto" w:sz="4" w:space="0"/>
                    <w:left w:val="single" w:color="auto" w:sz="4" w:space="0"/>
                    <w:bottom w:val="single" w:color="auto" w:sz="4" w:space="0"/>
                    <w:right w:val="single" w:color="auto" w:sz="4" w:space="0"/>
                  </w:tcBorders>
                  <w:vAlign w:val="bottom"/>
                </w:tcPr>
                <w:p>
                  <w:pPr>
                    <w:widowControl/>
                    <w:ind w:firstLine="105" w:firstLineChars="50"/>
                    <w:rPr>
                      <w:color w:val="auto"/>
                      <w:szCs w:val="21"/>
                    </w:rPr>
                  </w:pPr>
                  <w:r>
                    <w:rPr>
                      <w:rFonts w:hint="eastAsia"/>
                      <w:b/>
                      <w:color w:val="auto"/>
                    </w:rPr>
                    <w:t>备注：（存在特殊情况须在本栏目中进行详细说明）</w:t>
                  </w:r>
                </w:p>
              </w:tc>
            </w:tr>
          </w:tbl>
          <w:p>
            <w:pPr>
              <w:rPr>
                <w:color w:val="auto"/>
              </w:rPr>
            </w:pPr>
          </w:p>
        </w:tc>
      </w:tr>
    </w:tbl>
    <w:p>
      <w:pPr>
        <w:jc w:val="left"/>
        <w:rPr>
          <w:b/>
          <w:color w:val="auto"/>
          <w:sz w:val="18"/>
          <w:szCs w:val="18"/>
        </w:rPr>
      </w:pPr>
      <w:r>
        <w:rPr>
          <w:rFonts w:hint="eastAsia"/>
          <w:b/>
          <w:color w:val="auto"/>
          <w:sz w:val="18"/>
          <w:szCs w:val="18"/>
        </w:rPr>
        <w:t>填表说明：</w:t>
      </w:r>
    </w:p>
    <w:p>
      <w:pPr>
        <w:snapToGrid w:val="0"/>
        <w:spacing w:line="288" w:lineRule="auto"/>
        <w:ind w:firstLine="360" w:firstLineChars="200"/>
        <w:rPr>
          <w:color w:val="auto"/>
          <w:sz w:val="18"/>
          <w:szCs w:val="18"/>
        </w:rPr>
      </w:pPr>
      <w:r>
        <w:rPr>
          <w:color w:val="auto"/>
          <w:sz w:val="18"/>
          <w:szCs w:val="18"/>
        </w:rPr>
        <w:t>1</w:t>
      </w:r>
      <w:r>
        <w:rPr>
          <w:rFonts w:hint="eastAsia"/>
          <w:color w:val="auto"/>
          <w:sz w:val="18"/>
          <w:szCs w:val="18"/>
        </w:rPr>
        <w:t>、境内股东持股比例按照中方股东持有第一层境外投资企业的实际持股比例进行填写。</w:t>
      </w:r>
    </w:p>
    <w:p>
      <w:pPr>
        <w:snapToGrid w:val="0"/>
        <w:spacing w:line="288" w:lineRule="auto"/>
        <w:ind w:firstLine="360" w:firstLineChars="200"/>
        <w:rPr>
          <w:color w:val="auto"/>
          <w:sz w:val="18"/>
          <w:szCs w:val="18"/>
        </w:rPr>
      </w:pPr>
      <w:r>
        <w:rPr>
          <w:color w:val="auto"/>
          <w:sz w:val="18"/>
          <w:szCs w:val="18"/>
        </w:rPr>
        <w:t>2</w:t>
      </w:r>
      <w:r>
        <w:rPr>
          <w:rFonts w:hint="eastAsia"/>
          <w:color w:val="auto"/>
          <w:sz w:val="18"/>
          <w:szCs w:val="18"/>
        </w:rPr>
        <w:t>、</w:t>
      </w:r>
      <w:r>
        <w:rPr>
          <w:color w:val="auto"/>
          <w:sz w:val="18"/>
          <w:szCs w:val="18"/>
        </w:rPr>
        <w:t>“</w:t>
      </w:r>
      <w:r>
        <w:rPr>
          <w:rFonts w:hint="eastAsia"/>
          <w:color w:val="auto"/>
          <w:sz w:val="18"/>
          <w:szCs w:val="18"/>
        </w:rPr>
        <w:t>流动资产</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非流动资产</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短期负债</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长期负债</w:t>
      </w:r>
      <w:r>
        <w:rPr>
          <w:color w:val="auto"/>
          <w:sz w:val="18"/>
          <w:szCs w:val="18"/>
        </w:rPr>
        <w:t>”</w:t>
      </w:r>
      <w:r>
        <w:rPr>
          <w:rFonts w:hint="eastAsia"/>
          <w:color w:val="auto"/>
          <w:sz w:val="18"/>
          <w:szCs w:val="18"/>
        </w:rPr>
        <w:t>及</w:t>
      </w:r>
      <w:r>
        <w:rPr>
          <w:color w:val="auto"/>
          <w:sz w:val="18"/>
          <w:szCs w:val="18"/>
        </w:rPr>
        <w:t>“</w:t>
      </w:r>
      <w:r>
        <w:rPr>
          <w:rFonts w:hint="eastAsia"/>
          <w:color w:val="auto"/>
          <w:sz w:val="18"/>
          <w:szCs w:val="18"/>
        </w:rPr>
        <w:t>资产合计</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负债合计</w:t>
      </w:r>
      <w:r>
        <w:rPr>
          <w:color w:val="auto"/>
          <w:sz w:val="18"/>
          <w:szCs w:val="18"/>
        </w:rPr>
        <w:t>”</w:t>
      </w:r>
      <w:r>
        <w:rPr>
          <w:rFonts w:hint="eastAsia"/>
          <w:color w:val="auto"/>
          <w:sz w:val="18"/>
          <w:szCs w:val="18"/>
        </w:rPr>
        <w:t>按照第一层级境外投资企业财务报表相关会计科目填写。</w:t>
      </w:r>
    </w:p>
    <w:p>
      <w:pPr>
        <w:snapToGrid w:val="0"/>
        <w:spacing w:line="288" w:lineRule="auto"/>
        <w:ind w:firstLine="360" w:firstLineChars="200"/>
        <w:rPr>
          <w:color w:val="auto"/>
          <w:sz w:val="18"/>
          <w:szCs w:val="18"/>
        </w:rPr>
      </w:pPr>
      <w:r>
        <w:rPr>
          <w:color w:val="auto"/>
          <w:sz w:val="18"/>
          <w:szCs w:val="18"/>
        </w:rPr>
        <w:t>3</w:t>
      </w:r>
      <w:r>
        <w:rPr>
          <w:rFonts w:hint="eastAsia"/>
          <w:color w:val="auto"/>
          <w:sz w:val="18"/>
          <w:szCs w:val="18"/>
        </w:rPr>
        <w:t>、</w:t>
      </w:r>
      <w:r>
        <w:rPr>
          <w:color w:val="auto"/>
          <w:sz w:val="18"/>
          <w:szCs w:val="18"/>
        </w:rPr>
        <w:t>“</w:t>
      </w:r>
      <w:r>
        <w:rPr>
          <w:rFonts w:hint="eastAsia"/>
          <w:color w:val="auto"/>
          <w:sz w:val="18"/>
          <w:szCs w:val="18"/>
        </w:rPr>
        <w:t>归属于境外投资企业全体股东的权益</w:t>
      </w:r>
      <w:r>
        <w:rPr>
          <w:color w:val="auto"/>
          <w:sz w:val="18"/>
          <w:szCs w:val="18"/>
        </w:rPr>
        <w:t>”</w:t>
      </w:r>
      <w:r>
        <w:rPr>
          <w:rFonts w:hint="eastAsia"/>
          <w:color w:val="auto"/>
          <w:sz w:val="18"/>
          <w:szCs w:val="18"/>
        </w:rPr>
        <w:t>按照第一层级境外投资企业财务报表相关会计科目填写，</w:t>
      </w:r>
      <w:r>
        <w:rPr>
          <w:color w:val="auto"/>
          <w:sz w:val="18"/>
          <w:szCs w:val="18"/>
        </w:rPr>
        <w:t>“</w:t>
      </w:r>
      <w:r>
        <w:rPr>
          <w:rFonts w:hint="eastAsia"/>
          <w:color w:val="auto"/>
          <w:sz w:val="18"/>
          <w:szCs w:val="18"/>
        </w:rPr>
        <w:t>其中：归属中方股东的权益</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其中：归属中方股东的未分配利润余额</w:t>
      </w:r>
      <w:r>
        <w:rPr>
          <w:color w:val="auto"/>
          <w:sz w:val="18"/>
          <w:szCs w:val="18"/>
        </w:rPr>
        <w:t>”</w:t>
      </w:r>
      <w:r>
        <w:rPr>
          <w:rFonts w:hint="eastAsia"/>
          <w:color w:val="auto"/>
          <w:sz w:val="18"/>
          <w:szCs w:val="18"/>
        </w:rPr>
        <w:t>按中方股权比例或约定比例（符合相关法律法规的规定）计算后填写。</w:t>
      </w:r>
    </w:p>
    <w:p>
      <w:pPr>
        <w:snapToGrid w:val="0"/>
        <w:spacing w:line="288" w:lineRule="auto"/>
        <w:ind w:firstLine="360" w:firstLineChars="200"/>
        <w:rPr>
          <w:color w:val="auto"/>
          <w:sz w:val="18"/>
          <w:szCs w:val="18"/>
        </w:rPr>
      </w:pPr>
      <w:r>
        <w:rPr>
          <w:color w:val="auto"/>
          <w:sz w:val="18"/>
          <w:szCs w:val="18"/>
        </w:rPr>
        <w:t>4</w:t>
      </w:r>
      <w:r>
        <w:rPr>
          <w:rFonts w:hint="eastAsia"/>
          <w:color w:val="auto"/>
          <w:sz w:val="18"/>
          <w:szCs w:val="18"/>
        </w:rPr>
        <w:t>、</w:t>
      </w:r>
      <w:r>
        <w:rPr>
          <w:color w:val="auto"/>
          <w:sz w:val="18"/>
          <w:szCs w:val="18"/>
        </w:rPr>
        <w:t>“</w:t>
      </w:r>
      <w:r>
        <w:rPr>
          <w:rFonts w:hint="eastAsia"/>
          <w:color w:val="auto"/>
          <w:sz w:val="18"/>
          <w:szCs w:val="18"/>
        </w:rPr>
        <w:t>应付中方股利</w:t>
      </w:r>
      <w:r>
        <w:rPr>
          <w:color w:val="auto"/>
          <w:sz w:val="18"/>
          <w:szCs w:val="18"/>
        </w:rPr>
        <w:t>”</w:t>
      </w:r>
      <w:r>
        <w:rPr>
          <w:rFonts w:hint="eastAsia"/>
          <w:color w:val="auto"/>
          <w:sz w:val="18"/>
          <w:szCs w:val="18"/>
        </w:rPr>
        <w:t>：企业已宣告分配但尚未支付给中方的股利（未扣除应代扣代缴的税款）。</w:t>
      </w:r>
    </w:p>
    <w:p>
      <w:pPr>
        <w:snapToGrid w:val="0"/>
        <w:spacing w:line="288" w:lineRule="auto"/>
        <w:ind w:firstLine="360" w:firstLineChars="200"/>
        <w:rPr>
          <w:color w:val="auto"/>
          <w:sz w:val="18"/>
          <w:szCs w:val="18"/>
        </w:rPr>
      </w:pPr>
      <w:r>
        <w:rPr>
          <w:color w:val="auto"/>
          <w:sz w:val="18"/>
          <w:szCs w:val="18"/>
        </w:rPr>
        <w:t>5</w:t>
      </w:r>
      <w:r>
        <w:rPr>
          <w:rFonts w:hint="eastAsia"/>
          <w:color w:val="auto"/>
          <w:sz w:val="18"/>
          <w:szCs w:val="18"/>
        </w:rPr>
        <w:t>、</w:t>
      </w:r>
      <w:r>
        <w:rPr>
          <w:color w:val="auto"/>
          <w:sz w:val="18"/>
          <w:szCs w:val="18"/>
        </w:rPr>
        <w:t>“</w:t>
      </w:r>
      <w:r>
        <w:rPr>
          <w:rFonts w:hint="eastAsia"/>
          <w:color w:val="auto"/>
          <w:sz w:val="18"/>
          <w:szCs w:val="18"/>
        </w:rPr>
        <w:t>归属于境外投资企业全体股东的净利润</w:t>
      </w:r>
      <w:r>
        <w:rPr>
          <w:color w:val="auto"/>
          <w:sz w:val="18"/>
          <w:szCs w:val="18"/>
        </w:rPr>
        <w:t>”</w:t>
      </w:r>
      <w:r>
        <w:rPr>
          <w:rFonts w:hint="eastAsia"/>
          <w:color w:val="auto"/>
          <w:sz w:val="18"/>
          <w:szCs w:val="18"/>
        </w:rPr>
        <w:t>按照第一层级境外投资企业财务报表相关会计科目填写，</w:t>
      </w:r>
      <w:r>
        <w:rPr>
          <w:color w:val="auto"/>
          <w:sz w:val="18"/>
          <w:szCs w:val="18"/>
        </w:rPr>
        <w:t>“</w:t>
      </w:r>
      <w:r>
        <w:rPr>
          <w:rFonts w:hint="eastAsia"/>
          <w:color w:val="auto"/>
          <w:sz w:val="18"/>
          <w:szCs w:val="18"/>
        </w:rPr>
        <w:t>其中：中方股东享有的净利润</w:t>
      </w:r>
      <w:r>
        <w:rPr>
          <w:color w:val="auto"/>
          <w:sz w:val="18"/>
          <w:szCs w:val="18"/>
        </w:rPr>
        <w:t>”</w:t>
      </w:r>
      <w:r>
        <w:rPr>
          <w:rFonts w:hint="eastAsia"/>
          <w:color w:val="auto"/>
          <w:sz w:val="18"/>
          <w:szCs w:val="18"/>
        </w:rPr>
        <w:t>按中方股权比例或约定比例（符合相关法律法规的规定）计算后填写。</w:t>
      </w:r>
    </w:p>
    <w:p>
      <w:pPr>
        <w:snapToGrid w:val="0"/>
        <w:spacing w:line="288" w:lineRule="auto"/>
        <w:ind w:firstLine="360" w:firstLineChars="200"/>
        <w:rPr>
          <w:color w:val="auto"/>
          <w:sz w:val="18"/>
          <w:szCs w:val="18"/>
        </w:rPr>
      </w:pPr>
      <w:r>
        <w:rPr>
          <w:color w:val="auto"/>
          <w:sz w:val="18"/>
          <w:szCs w:val="18"/>
        </w:rPr>
        <w:t>6</w:t>
      </w:r>
      <w:r>
        <w:rPr>
          <w:rFonts w:hint="eastAsia"/>
          <w:color w:val="auto"/>
          <w:sz w:val="18"/>
          <w:szCs w:val="18"/>
        </w:rPr>
        <w:t>、</w:t>
      </w:r>
      <w:r>
        <w:rPr>
          <w:color w:val="auto"/>
          <w:sz w:val="18"/>
          <w:szCs w:val="18"/>
        </w:rPr>
        <w:t>“</w:t>
      </w:r>
      <w:r>
        <w:rPr>
          <w:rFonts w:hint="eastAsia"/>
          <w:color w:val="auto"/>
          <w:sz w:val="18"/>
          <w:szCs w:val="18"/>
        </w:rPr>
        <w:t>分配中方股东的利润金额合计</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汇回中方股东的利润金额合计</w:t>
      </w:r>
      <w:r>
        <w:rPr>
          <w:color w:val="auto"/>
          <w:sz w:val="18"/>
          <w:szCs w:val="18"/>
        </w:rPr>
        <w:t>”</w:t>
      </w:r>
      <w:r>
        <w:rPr>
          <w:rFonts w:hint="eastAsia"/>
          <w:color w:val="auto"/>
          <w:sz w:val="18"/>
          <w:szCs w:val="18"/>
        </w:rPr>
        <w:t>的本期金额按申报年度实际发生额填写，历年累计按企业成立至申报年度年末的累计实际金额填写（包括申报年度的数据），分配的利润和汇回的利润中可能包含以往年度产生的利润。</w:t>
      </w:r>
    </w:p>
    <w:p>
      <w:pPr>
        <w:pStyle w:val="7"/>
        <w:ind w:firstLine="360"/>
        <w:rPr>
          <w:rFonts w:ascii="Times New Roman"/>
          <w:color w:val="auto"/>
        </w:rPr>
      </w:pPr>
      <w:r>
        <w:rPr>
          <w:rFonts w:ascii="Times New Roman"/>
          <w:color w:val="auto"/>
          <w:sz w:val="18"/>
          <w:szCs w:val="18"/>
        </w:rPr>
        <w:t>7</w:t>
      </w:r>
      <w:r>
        <w:rPr>
          <w:rFonts w:hint="eastAsia" w:ascii="Times New Roman"/>
          <w:color w:val="auto"/>
          <w:sz w:val="18"/>
          <w:szCs w:val="18"/>
        </w:rPr>
        <w:t>、</w:t>
      </w:r>
      <w:r>
        <w:rPr>
          <w:rFonts w:ascii="Times New Roman"/>
          <w:color w:val="auto"/>
          <w:sz w:val="18"/>
          <w:szCs w:val="18"/>
        </w:rPr>
        <w:t>“</w:t>
      </w:r>
      <w:r>
        <w:rPr>
          <w:rFonts w:hint="eastAsia" w:ascii="Times New Roman"/>
          <w:color w:val="auto"/>
          <w:sz w:val="18"/>
          <w:szCs w:val="18"/>
        </w:rPr>
        <w:t>附注</w:t>
      </w:r>
      <w:r>
        <w:rPr>
          <w:rFonts w:ascii="Times New Roman"/>
          <w:color w:val="auto"/>
          <w:sz w:val="18"/>
          <w:szCs w:val="18"/>
        </w:rPr>
        <w:t>”</w:t>
      </w:r>
      <w:r>
        <w:rPr>
          <w:rFonts w:hint="eastAsia" w:ascii="Times New Roman"/>
          <w:color w:val="auto"/>
          <w:sz w:val="18"/>
          <w:szCs w:val="18"/>
        </w:rPr>
        <w:t>：</w:t>
      </w:r>
      <w:r>
        <w:rPr>
          <w:rFonts w:ascii="Times New Roman"/>
          <w:color w:val="auto"/>
          <w:sz w:val="18"/>
          <w:szCs w:val="18"/>
        </w:rPr>
        <w:t>“</w:t>
      </w:r>
      <w:r>
        <w:rPr>
          <w:rFonts w:hint="eastAsia" w:ascii="Times New Roman"/>
          <w:color w:val="auto"/>
          <w:sz w:val="18"/>
          <w:szCs w:val="18"/>
        </w:rPr>
        <w:t>应付股利</w:t>
      </w:r>
      <w:r>
        <w:rPr>
          <w:rFonts w:ascii="Times New Roman"/>
          <w:color w:val="auto"/>
          <w:sz w:val="18"/>
          <w:szCs w:val="18"/>
        </w:rPr>
        <w:t>”</w:t>
      </w:r>
      <w:r>
        <w:rPr>
          <w:rFonts w:hint="eastAsia" w:ascii="Times New Roman"/>
          <w:color w:val="auto"/>
          <w:sz w:val="18"/>
          <w:szCs w:val="18"/>
        </w:rPr>
        <w:t>、</w:t>
      </w:r>
      <w:r>
        <w:rPr>
          <w:rFonts w:ascii="Times New Roman"/>
          <w:color w:val="auto"/>
          <w:sz w:val="18"/>
          <w:szCs w:val="18"/>
        </w:rPr>
        <w:t>“</w:t>
      </w:r>
      <w:r>
        <w:rPr>
          <w:rFonts w:hint="eastAsia" w:ascii="Times New Roman"/>
          <w:color w:val="auto"/>
          <w:sz w:val="18"/>
          <w:szCs w:val="18"/>
        </w:rPr>
        <w:t>实收资本</w:t>
      </w:r>
      <w:r>
        <w:rPr>
          <w:rFonts w:ascii="Times New Roman"/>
          <w:color w:val="auto"/>
          <w:sz w:val="18"/>
          <w:szCs w:val="18"/>
        </w:rPr>
        <w:t>”</w:t>
      </w:r>
      <w:r>
        <w:rPr>
          <w:rFonts w:hint="eastAsia" w:ascii="Times New Roman"/>
          <w:color w:val="auto"/>
          <w:sz w:val="18"/>
          <w:szCs w:val="18"/>
        </w:rPr>
        <w:t>、</w:t>
      </w:r>
      <w:r>
        <w:rPr>
          <w:rFonts w:ascii="Times New Roman"/>
          <w:color w:val="auto"/>
          <w:sz w:val="18"/>
          <w:szCs w:val="18"/>
        </w:rPr>
        <w:t>“</w:t>
      </w:r>
      <w:r>
        <w:rPr>
          <w:rFonts w:hint="eastAsia" w:ascii="Times New Roman"/>
          <w:color w:val="auto"/>
          <w:sz w:val="18"/>
          <w:szCs w:val="18"/>
        </w:rPr>
        <w:t>资本公积</w:t>
      </w:r>
      <w:r>
        <w:rPr>
          <w:rFonts w:ascii="Times New Roman"/>
          <w:color w:val="auto"/>
          <w:sz w:val="18"/>
          <w:szCs w:val="18"/>
        </w:rPr>
        <w:t>”</w:t>
      </w:r>
      <w:r>
        <w:rPr>
          <w:rFonts w:hint="eastAsia" w:ascii="Times New Roman"/>
          <w:color w:val="auto"/>
          <w:sz w:val="18"/>
          <w:szCs w:val="18"/>
        </w:rPr>
        <w:t>、</w:t>
      </w:r>
      <w:r>
        <w:rPr>
          <w:rFonts w:ascii="Times New Roman"/>
          <w:color w:val="auto"/>
          <w:sz w:val="18"/>
          <w:szCs w:val="18"/>
        </w:rPr>
        <w:t>“</w:t>
      </w:r>
      <w:r>
        <w:rPr>
          <w:rFonts w:hint="eastAsia" w:ascii="Times New Roman"/>
          <w:color w:val="auto"/>
          <w:sz w:val="18"/>
          <w:szCs w:val="18"/>
        </w:rPr>
        <w:t>未分配利润</w:t>
      </w:r>
      <w:r>
        <w:rPr>
          <w:rFonts w:ascii="Times New Roman"/>
          <w:color w:val="auto"/>
          <w:sz w:val="18"/>
          <w:szCs w:val="18"/>
        </w:rPr>
        <w:t>”</w:t>
      </w:r>
      <w:r>
        <w:rPr>
          <w:rFonts w:hint="eastAsia" w:ascii="Times New Roman"/>
          <w:color w:val="auto"/>
          <w:sz w:val="18"/>
          <w:szCs w:val="18"/>
        </w:rPr>
        <w:t>、</w:t>
      </w:r>
      <w:r>
        <w:rPr>
          <w:rFonts w:ascii="Times New Roman"/>
          <w:color w:val="auto"/>
          <w:sz w:val="18"/>
          <w:szCs w:val="18"/>
        </w:rPr>
        <w:t>“</w:t>
      </w:r>
      <w:r>
        <w:rPr>
          <w:rFonts w:hint="eastAsia" w:ascii="Times New Roman"/>
          <w:color w:val="auto"/>
          <w:sz w:val="18"/>
          <w:szCs w:val="18"/>
        </w:rPr>
        <w:t>盈余公积</w:t>
      </w:r>
      <w:r>
        <w:rPr>
          <w:rFonts w:ascii="Times New Roman"/>
          <w:color w:val="auto"/>
          <w:sz w:val="18"/>
          <w:szCs w:val="18"/>
        </w:rPr>
        <w:t>”</w:t>
      </w:r>
      <w:r>
        <w:rPr>
          <w:rFonts w:hint="eastAsia" w:ascii="Times New Roman"/>
          <w:color w:val="auto"/>
          <w:sz w:val="18"/>
          <w:szCs w:val="18"/>
        </w:rPr>
        <w:t>和</w:t>
      </w:r>
      <w:r>
        <w:rPr>
          <w:rFonts w:ascii="Times New Roman"/>
          <w:color w:val="auto"/>
          <w:sz w:val="18"/>
          <w:szCs w:val="18"/>
        </w:rPr>
        <w:t>“</w:t>
      </w:r>
      <w:r>
        <w:rPr>
          <w:rFonts w:hint="eastAsia" w:ascii="Times New Roman"/>
          <w:color w:val="auto"/>
          <w:sz w:val="18"/>
          <w:szCs w:val="18"/>
        </w:rPr>
        <w:t>其他</w:t>
      </w:r>
      <w:r>
        <w:rPr>
          <w:rFonts w:ascii="Times New Roman"/>
          <w:color w:val="auto"/>
          <w:sz w:val="18"/>
          <w:szCs w:val="18"/>
        </w:rPr>
        <w:t>”</w:t>
      </w:r>
      <w:r>
        <w:rPr>
          <w:rFonts w:hint="eastAsia" w:ascii="Times New Roman"/>
          <w:color w:val="auto"/>
          <w:sz w:val="18"/>
          <w:szCs w:val="18"/>
        </w:rPr>
        <w:t>仅境外第一层级特殊目的公司汇总其境外全部子公司数据填写。境外存在多家子公司的须填写合计权益金额。计算公式为：中方投资者实际享有权益</w:t>
      </w:r>
      <w:r>
        <w:rPr>
          <w:rFonts w:ascii="Times New Roman"/>
          <w:color w:val="auto"/>
          <w:sz w:val="18"/>
          <w:szCs w:val="18"/>
        </w:rPr>
        <w:t>=</w:t>
      </w:r>
      <w:r>
        <w:rPr>
          <w:rFonts w:hint="eastAsia" w:ascii="Times New Roman"/>
          <w:color w:val="auto"/>
          <w:sz w:val="18"/>
          <w:szCs w:val="18"/>
        </w:rPr>
        <w:t>境外子公司权益</w:t>
      </w:r>
      <w:r>
        <w:rPr>
          <w:rFonts w:ascii="Times New Roman"/>
          <w:color w:val="auto"/>
          <w:sz w:val="18"/>
          <w:szCs w:val="18"/>
        </w:rPr>
        <w:t>×</w:t>
      </w:r>
      <w:r>
        <w:rPr>
          <w:rFonts w:hint="eastAsia" w:ascii="Times New Roman"/>
          <w:color w:val="auto"/>
          <w:sz w:val="18"/>
          <w:szCs w:val="18"/>
        </w:rPr>
        <w:t>特殊目的公司中国投资者股权比例或约定比例（符合相关法律法规的规定）</w:t>
      </w:r>
      <w:r>
        <w:rPr>
          <w:rFonts w:ascii="Times New Roman"/>
          <w:color w:val="auto"/>
          <w:sz w:val="18"/>
          <w:szCs w:val="18"/>
        </w:rPr>
        <w:t>×</w:t>
      </w:r>
      <w:r>
        <w:rPr>
          <w:rFonts w:hint="eastAsia" w:ascii="Times New Roman"/>
          <w:color w:val="auto"/>
          <w:sz w:val="18"/>
          <w:szCs w:val="18"/>
        </w:rPr>
        <w:t>境外子公司中特殊目的公司股权比例或约定比例（符合相关法律法规的规定）。</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仿宋" w:hAnsi="仿宋" w:eastAsia="仿宋" w:cs="仿宋"/>
          <w:i w:val="0"/>
          <w:caps w:val="0"/>
          <w:color w:val="auto"/>
          <w:spacing w:val="8"/>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B3FD1"/>
    <w:rsid w:val="00027BFD"/>
    <w:rsid w:val="0003081A"/>
    <w:rsid w:val="00115CC7"/>
    <w:rsid w:val="00241ECB"/>
    <w:rsid w:val="002E5AF1"/>
    <w:rsid w:val="002F0398"/>
    <w:rsid w:val="00432200"/>
    <w:rsid w:val="00A31D5B"/>
    <w:rsid w:val="00AF2267"/>
    <w:rsid w:val="00B64F8B"/>
    <w:rsid w:val="00B80F6E"/>
    <w:rsid w:val="00C50DA6"/>
    <w:rsid w:val="010911FB"/>
    <w:rsid w:val="010B1D32"/>
    <w:rsid w:val="01107F15"/>
    <w:rsid w:val="01197227"/>
    <w:rsid w:val="011E59C7"/>
    <w:rsid w:val="01203E30"/>
    <w:rsid w:val="01292A1B"/>
    <w:rsid w:val="01296A79"/>
    <w:rsid w:val="013C2AEA"/>
    <w:rsid w:val="016C0306"/>
    <w:rsid w:val="017651FC"/>
    <w:rsid w:val="017A28CE"/>
    <w:rsid w:val="01861954"/>
    <w:rsid w:val="01A36A69"/>
    <w:rsid w:val="01A8387C"/>
    <w:rsid w:val="01D31B49"/>
    <w:rsid w:val="01D9104E"/>
    <w:rsid w:val="01E349C2"/>
    <w:rsid w:val="01E867C4"/>
    <w:rsid w:val="01F1699D"/>
    <w:rsid w:val="02200E35"/>
    <w:rsid w:val="02266493"/>
    <w:rsid w:val="022B1516"/>
    <w:rsid w:val="023E123F"/>
    <w:rsid w:val="024834E2"/>
    <w:rsid w:val="024D2A94"/>
    <w:rsid w:val="025A3773"/>
    <w:rsid w:val="025B0701"/>
    <w:rsid w:val="02752F79"/>
    <w:rsid w:val="027551C6"/>
    <w:rsid w:val="02864752"/>
    <w:rsid w:val="02A25E69"/>
    <w:rsid w:val="02A3427B"/>
    <w:rsid w:val="02B918D3"/>
    <w:rsid w:val="02D14FFB"/>
    <w:rsid w:val="02D53FEE"/>
    <w:rsid w:val="02E2186E"/>
    <w:rsid w:val="02E95FFF"/>
    <w:rsid w:val="02F2516C"/>
    <w:rsid w:val="03035576"/>
    <w:rsid w:val="03157B9C"/>
    <w:rsid w:val="033539F3"/>
    <w:rsid w:val="034D5020"/>
    <w:rsid w:val="035A0D71"/>
    <w:rsid w:val="035B26FE"/>
    <w:rsid w:val="036379AF"/>
    <w:rsid w:val="036C4392"/>
    <w:rsid w:val="037B3FD1"/>
    <w:rsid w:val="03EA682A"/>
    <w:rsid w:val="04025622"/>
    <w:rsid w:val="041D5389"/>
    <w:rsid w:val="042F20E0"/>
    <w:rsid w:val="04362680"/>
    <w:rsid w:val="044B2A0D"/>
    <w:rsid w:val="046E7E22"/>
    <w:rsid w:val="047E62AA"/>
    <w:rsid w:val="04894355"/>
    <w:rsid w:val="04914840"/>
    <w:rsid w:val="049641ED"/>
    <w:rsid w:val="04A671EA"/>
    <w:rsid w:val="04B04111"/>
    <w:rsid w:val="04F53FE4"/>
    <w:rsid w:val="04F625BA"/>
    <w:rsid w:val="04FE0501"/>
    <w:rsid w:val="05163ADB"/>
    <w:rsid w:val="05195894"/>
    <w:rsid w:val="052B3EA0"/>
    <w:rsid w:val="053730EB"/>
    <w:rsid w:val="05456CB3"/>
    <w:rsid w:val="055D30A8"/>
    <w:rsid w:val="05A27BAF"/>
    <w:rsid w:val="05BE1D78"/>
    <w:rsid w:val="05DA51EE"/>
    <w:rsid w:val="05E14B4C"/>
    <w:rsid w:val="05E50413"/>
    <w:rsid w:val="05EF7657"/>
    <w:rsid w:val="05F771F4"/>
    <w:rsid w:val="05FE367D"/>
    <w:rsid w:val="06086166"/>
    <w:rsid w:val="061A31C9"/>
    <w:rsid w:val="0620799F"/>
    <w:rsid w:val="06224245"/>
    <w:rsid w:val="06244D5A"/>
    <w:rsid w:val="067574A7"/>
    <w:rsid w:val="06842198"/>
    <w:rsid w:val="06960C80"/>
    <w:rsid w:val="06BA12B9"/>
    <w:rsid w:val="06DD162E"/>
    <w:rsid w:val="0707191A"/>
    <w:rsid w:val="07183F5D"/>
    <w:rsid w:val="071C075B"/>
    <w:rsid w:val="07291BD7"/>
    <w:rsid w:val="07570B96"/>
    <w:rsid w:val="07863637"/>
    <w:rsid w:val="0791328B"/>
    <w:rsid w:val="07A56FD6"/>
    <w:rsid w:val="07AD50BD"/>
    <w:rsid w:val="07C75CE2"/>
    <w:rsid w:val="07D746A1"/>
    <w:rsid w:val="07EB09C0"/>
    <w:rsid w:val="07EB1F4A"/>
    <w:rsid w:val="07FA08D0"/>
    <w:rsid w:val="07FF2494"/>
    <w:rsid w:val="083010BE"/>
    <w:rsid w:val="083F3D20"/>
    <w:rsid w:val="08452AC6"/>
    <w:rsid w:val="086769B6"/>
    <w:rsid w:val="087F036E"/>
    <w:rsid w:val="089B2B9B"/>
    <w:rsid w:val="08B5784C"/>
    <w:rsid w:val="08B94EC3"/>
    <w:rsid w:val="08BC7BAB"/>
    <w:rsid w:val="08BD25C8"/>
    <w:rsid w:val="08D33FA8"/>
    <w:rsid w:val="08E44F64"/>
    <w:rsid w:val="08E577F2"/>
    <w:rsid w:val="08E82B5B"/>
    <w:rsid w:val="08FB31D1"/>
    <w:rsid w:val="09090990"/>
    <w:rsid w:val="090F73C9"/>
    <w:rsid w:val="0923526D"/>
    <w:rsid w:val="092B0348"/>
    <w:rsid w:val="09584897"/>
    <w:rsid w:val="09630E0A"/>
    <w:rsid w:val="096B4EF9"/>
    <w:rsid w:val="09912BC0"/>
    <w:rsid w:val="09A139EF"/>
    <w:rsid w:val="09FE0E3C"/>
    <w:rsid w:val="0A1F578B"/>
    <w:rsid w:val="0A3F5F5B"/>
    <w:rsid w:val="0A460757"/>
    <w:rsid w:val="0A6D304B"/>
    <w:rsid w:val="0A730C29"/>
    <w:rsid w:val="0A7D4341"/>
    <w:rsid w:val="0A8749CD"/>
    <w:rsid w:val="0A887665"/>
    <w:rsid w:val="0AD9650D"/>
    <w:rsid w:val="0B017736"/>
    <w:rsid w:val="0B0537A3"/>
    <w:rsid w:val="0B165083"/>
    <w:rsid w:val="0B1745AF"/>
    <w:rsid w:val="0B346E68"/>
    <w:rsid w:val="0B613075"/>
    <w:rsid w:val="0B6F5A21"/>
    <w:rsid w:val="0B802B9C"/>
    <w:rsid w:val="0B8309C7"/>
    <w:rsid w:val="0B907718"/>
    <w:rsid w:val="0BAE76F6"/>
    <w:rsid w:val="0BF338B7"/>
    <w:rsid w:val="0C1E0A57"/>
    <w:rsid w:val="0C2645A2"/>
    <w:rsid w:val="0C2C4021"/>
    <w:rsid w:val="0C617A0C"/>
    <w:rsid w:val="0C6254D8"/>
    <w:rsid w:val="0C6C71D1"/>
    <w:rsid w:val="0C7E1C5E"/>
    <w:rsid w:val="0C897FDA"/>
    <w:rsid w:val="0C8A4CC0"/>
    <w:rsid w:val="0CC166B1"/>
    <w:rsid w:val="0CC22D45"/>
    <w:rsid w:val="0CD74CB6"/>
    <w:rsid w:val="0CED730B"/>
    <w:rsid w:val="0D243AB7"/>
    <w:rsid w:val="0D3627FD"/>
    <w:rsid w:val="0D3C48AD"/>
    <w:rsid w:val="0D4B5DCA"/>
    <w:rsid w:val="0D50159F"/>
    <w:rsid w:val="0D630480"/>
    <w:rsid w:val="0D681E10"/>
    <w:rsid w:val="0D706B34"/>
    <w:rsid w:val="0D7909D8"/>
    <w:rsid w:val="0D836E29"/>
    <w:rsid w:val="0D910244"/>
    <w:rsid w:val="0DA76D8F"/>
    <w:rsid w:val="0DB470DB"/>
    <w:rsid w:val="0DC42E08"/>
    <w:rsid w:val="0DE57BD6"/>
    <w:rsid w:val="0DE7103D"/>
    <w:rsid w:val="0DEF24F4"/>
    <w:rsid w:val="0DF55211"/>
    <w:rsid w:val="0E2F0BA1"/>
    <w:rsid w:val="0E500433"/>
    <w:rsid w:val="0E720EAA"/>
    <w:rsid w:val="0E896AE2"/>
    <w:rsid w:val="0EAA1170"/>
    <w:rsid w:val="0EB05FE4"/>
    <w:rsid w:val="0EB1295E"/>
    <w:rsid w:val="0EC905E3"/>
    <w:rsid w:val="0EE478EB"/>
    <w:rsid w:val="0F0F058B"/>
    <w:rsid w:val="0F1205EF"/>
    <w:rsid w:val="0F2A2B77"/>
    <w:rsid w:val="0F56602C"/>
    <w:rsid w:val="0F711379"/>
    <w:rsid w:val="0F7B2A56"/>
    <w:rsid w:val="0FA775F2"/>
    <w:rsid w:val="0FC848C5"/>
    <w:rsid w:val="0FD03ECD"/>
    <w:rsid w:val="0FD821FF"/>
    <w:rsid w:val="0FF417D8"/>
    <w:rsid w:val="100E29AB"/>
    <w:rsid w:val="101A4D0B"/>
    <w:rsid w:val="106B5A3E"/>
    <w:rsid w:val="106C0CFA"/>
    <w:rsid w:val="107B0D5E"/>
    <w:rsid w:val="1084688A"/>
    <w:rsid w:val="108C3A77"/>
    <w:rsid w:val="10A35CF5"/>
    <w:rsid w:val="10B8361F"/>
    <w:rsid w:val="10C6594E"/>
    <w:rsid w:val="10DB76B9"/>
    <w:rsid w:val="10DD6A9B"/>
    <w:rsid w:val="10DE39D0"/>
    <w:rsid w:val="10E850C9"/>
    <w:rsid w:val="110121F2"/>
    <w:rsid w:val="11044021"/>
    <w:rsid w:val="112F16EE"/>
    <w:rsid w:val="114A1EA0"/>
    <w:rsid w:val="116F308F"/>
    <w:rsid w:val="11851E47"/>
    <w:rsid w:val="118B55C8"/>
    <w:rsid w:val="119D5286"/>
    <w:rsid w:val="11A37B7E"/>
    <w:rsid w:val="11AA3268"/>
    <w:rsid w:val="11BE6FBE"/>
    <w:rsid w:val="11DA71AF"/>
    <w:rsid w:val="11DF02EF"/>
    <w:rsid w:val="11E8563C"/>
    <w:rsid w:val="11EC0DE3"/>
    <w:rsid w:val="11F654FF"/>
    <w:rsid w:val="122B07FD"/>
    <w:rsid w:val="124B5DFE"/>
    <w:rsid w:val="126B6C18"/>
    <w:rsid w:val="12743F89"/>
    <w:rsid w:val="1281259E"/>
    <w:rsid w:val="128C09A1"/>
    <w:rsid w:val="128C1415"/>
    <w:rsid w:val="128C71F6"/>
    <w:rsid w:val="12AB3C53"/>
    <w:rsid w:val="12B71935"/>
    <w:rsid w:val="12D354B5"/>
    <w:rsid w:val="12E50E66"/>
    <w:rsid w:val="12E6000D"/>
    <w:rsid w:val="13152F72"/>
    <w:rsid w:val="131F7E86"/>
    <w:rsid w:val="134E7B38"/>
    <w:rsid w:val="13513DF4"/>
    <w:rsid w:val="13791052"/>
    <w:rsid w:val="13A4026C"/>
    <w:rsid w:val="13AB429C"/>
    <w:rsid w:val="13C14F8E"/>
    <w:rsid w:val="13EA38F3"/>
    <w:rsid w:val="13FC4874"/>
    <w:rsid w:val="14086B5C"/>
    <w:rsid w:val="141066A5"/>
    <w:rsid w:val="141103BA"/>
    <w:rsid w:val="1419749F"/>
    <w:rsid w:val="14317AAD"/>
    <w:rsid w:val="143709BF"/>
    <w:rsid w:val="143A5B7C"/>
    <w:rsid w:val="14553A2A"/>
    <w:rsid w:val="145D7A6B"/>
    <w:rsid w:val="146A542F"/>
    <w:rsid w:val="1489392A"/>
    <w:rsid w:val="148A0C93"/>
    <w:rsid w:val="14C671C0"/>
    <w:rsid w:val="14CA55E1"/>
    <w:rsid w:val="14E25BB0"/>
    <w:rsid w:val="14F429AD"/>
    <w:rsid w:val="15091A9B"/>
    <w:rsid w:val="15241B6A"/>
    <w:rsid w:val="15285DC5"/>
    <w:rsid w:val="153535D2"/>
    <w:rsid w:val="15496B76"/>
    <w:rsid w:val="15C7346E"/>
    <w:rsid w:val="160537D1"/>
    <w:rsid w:val="160E3B86"/>
    <w:rsid w:val="16263FB2"/>
    <w:rsid w:val="163C7A07"/>
    <w:rsid w:val="163F5018"/>
    <w:rsid w:val="16454036"/>
    <w:rsid w:val="16871654"/>
    <w:rsid w:val="169B65C7"/>
    <w:rsid w:val="16A06DDA"/>
    <w:rsid w:val="16A335B9"/>
    <w:rsid w:val="16AB0682"/>
    <w:rsid w:val="16B865CA"/>
    <w:rsid w:val="16BA5AEE"/>
    <w:rsid w:val="16BB3340"/>
    <w:rsid w:val="16C65E8A"/>
    <w:rsid w:val="16E8796E"/>
    <w:rsid w:val="172277DA"/>
    <w:rsid w:val="1740021A"/>
    <w:rsid w:val="178F241C"/>
    <w:rsid w:val="179618B7"/>
    <w:rsid w:val="179D7146"/>
    <w:rsid w:val="17D6454C"/>
    <w:rsid w:val="17E652A9"/>
    <w:rsid w:val="17E93A3E"/>
    <w:rsid w:val="17E97A16"/>
    <w:rsid w:val="17F31E5C"/>
    <w:rsid w:val="17F364AE"/>
    <w:rsid w:val="18045CD3"/>
    <w:rsid w:val="18164F1C"/>
    <w:rsid w:val="181E4F1C"/>
    <w:rsid w:val="18330F02"/>
    <w:rsid w:val="18520112"/>
    <w:rsid w:val="18806659"/>
    <w:rsid w:val="188776C6"/>
    <w:rsid w:val="18A74C46"/>
    <w:rsid w:val="18EE39C7"/>
    <w:rsid w:val="1924575C"/>
    <w:rsid w:val="19336F19"/>
    <w:rsid w:val="194741DA"/>
    <w:rsid w:val="194E74C1"/>
    <w:rsid w:val="196C3807"/>
    <w:rsid w:val="19734D24"/>
    <w:rsid w:val="198A0897"/>
    <w:rsid w:val="19977734"/>
    <w:rsid w:val="19A07B38"/>
    <w:rsid w:val="19BA33C3"/>
    <w:rsid w:val="19C0741B"/>
    <w:rsid w:val="19CA572D"/>
    <w:rsid w:val="19E97311"/>
    <w:rsid w:val="1A141E67"/>
    <w:rsid w:val="1A175DA0"/>
    <w:rsid w:val="1A194C58"/>
    <w:rsid w:val="1A3121F6"/>
    <w:rsid w:val="1A556124"/>
    <w:rsid w:val="1A993DFC"/>
    <w:rsid w:val="1AD30FB9"/>
    <w:rsid w:val="1ADD2689"/>
    <w:rsid w:val="1AE541A8"/>
    <w:rsid w:val="1AFC5E98"/>
    <w:rsid w:val="1AFD22AF"/>
    <w:rsid w:val="1B0C5AD5"/>
    <w:rsid w:val="1B194A69"/>
    <w:rsid w:val="1B665649"/>
    <w:rsid w:val="1B935AA6"/>
    <w:rsid w:val="1B9D2B85"/>
    <w:rsid w:val="1C2D4B95"/>
    <w:rsid w:val="1C466C81"/>
    <w:rsid w:val="1C55651A"/>
    <w:rsid w:val="1C6C39CC"/>
    <w:rsid w:val="1C881C10"/>
    <w:rsid w:val="1CD43FAF"/>
    <w:rsid w:val="1D01333E"/>
    <w:rsid w:val="1D2F7384"/>
    <w:rsid w:val="1D400490"/>
    <w:rsid w:val="1D52553C"/>
    <w:rsid w:val="1D9D34BA"/>
    <w:rsid w:val="1DDA3D30"/>
    <w:rsid w:val="1DDE7FCF"/>
    <w:rsid w:val="1DE37A7C"/>
    <w:rsid w:val="1DE611FD"/>
    <w:rsid w:val="1DEB4F5B"/>
    <w:rsid w:val="1E183208"/>
    <w:rsid w:val="1E380A32"/>
    <w:rsid w:val="1E462D75"/>
    <w:rsid w:val="1EA045D6"/>
    <w:rsid w:val="1EA57269"/>
    <w:rsid w:val="1EAE60E0"/>
    <w:rsid w:val="1EF0704B"/>
    <w:rsid w:val="1EF76FEE"/>
    <w:rsid w:val="1F1A393D"/>
    <w:rsid w:val="1F326934"/>
    <w:rsid w:val="1F353918"/>
    <w:rsid w:val="1F3935CB"/>
    <w:rsid w:val="1F547817"/>
    <w:rsid w:val="1F590EC1"/>
    <w:rsid w:val="1F7523FF"/>
    <w:rsid w:val="1F8F3189"/>
    <w:rsid w:val="1FE047C6"/>
    <w:rsid w:val="20382D1F"/>
    <w:rsid w:val="2047072A"/>
    <w:rsid w:val="204F7BED"/>
    <w:rsid w:val="205154B1"/>
    <w:rsid w:val="205A3E99"/>
    <w:rsid w:val="206479D8"/>
    <w:rsid w:val="20664243"/>
    <w:rsid w:val="207713EF"/>
    <w:rsid w:val="20817F2F"/>
    <w:rsid w:val="20941039"/>
    <w:rsid w:val="209F7721"/>
    <w:rsid w:val="20A470A9"/>
    <w:rsid w:val="20BA3AD9"/>
    <w:rsid w:val="20BE77EF"/>
    <w:rsid w:val="20DC27F9"/>
    <w:rsid w:val="2115573E"/>
    <w:rsid w:val="21196CFF"/>
    <w:rsid w:val="212E1696"/>
    <w:rsid w:val="21394F7E"/>
    <w:rsid w:val="214175BD"/>
    <w:rsid w:val="215D6D01"/>
    <w:rsid w:val="216F2AEF"/>
    <w:rsid w:val="21936061"/>
    <w:rsid w:val="21980DAC"/>
    <w:rsid w:val="219E3F4E"/>
    <w:rsid w:val="21A3562F"/>
    <w:rsid w:val="21AD2804"/>
    <w:rsid w:val="21B961FE"/>
    <w:rsid w:val="21BB1D9A"/>
    <w:rsid w:val="21BD7A16"/>
    <w:rsid w:val="21F32B25"/>
    <w:rsid w:val="220D3E7D"/>
    <w:rsid w:val="22126FBD"/>
    <w:rsid w:val="221310A4"/>
    <w:rsid w:val="22427147"/>
    <w:rsid w:val="226A3CCE"/>
    <w:rsid w:val="228148FD"/>
    <w:rsid w:val="22A20792"/>
    <w:rsid w:val="22A44585"/>
    <w:rsid w:val="22A57FE8"/>
    <w:rsid w:val="22AA6DED"/>
    <w:rsid w:val="22E000A9"/>
    <w:rsid w:val="22E7438E"/>
    <w:rsid w:val="22E80C64"/>
    <w:rsid w:val="22FA1BB3"/>
    <w:rsid w:val="22FD56AF"/>
    <w:rsid w:val="22FE607F"/>
    <w:rsid w:val="2304088C"/>
    <w:rsid w:val="232725E4"/>
    <w:rsid w:val="23455F59"/>
    <w:rsid w:val="23730A2A"/>
    <w:rsid w:val="23791752"/>
    <w:rsid w:val="238D0723"/>
    <w:rsid w:val="2398474D"/>
    <w:rsid w:val="23AA01C1"/>
    <w:rsid w:val="23CF188A"/>
    <w:rsid w:val="23CF65A1"/>
    <w:rsid w:val="23DC5AAC"/>
    <w:rsid w:val="23FA54E2"/>
    <w:rsid w:val="2423788E"/>
    <w:rsid w:val="248C4ADD"/>
    <w:rsid w:val="24AE76DF"/>
    <w:rsid w:val="24AF4FB7"/>
    <w:rsid w:val="24B3106F"/>
    <w:rsid w:val="24BF430D"/>
    <w:rsid w:val="24C510A7"/>
    <w:rsid w:val="24C52531"/>
    <w:rsid w:val="24C543B3"/>
    <w:rsid w:val="24C94020"/>
    <w:rsid w:val="24CD3B7B"/>
    <w:rsid w:val="24DD71AF"/>
    <w:rsid w:val="24DE3227"/>
    <w:rsid w:val="24E837F7"/>
    <w:rsid w:val="25011B07"/>
    <w:rsid w:val="25096985"/>
    <w:rsid w:val="25177F58"/>
    <w:rsid w:val="251A259D"/>
    <w:rsid w:val="251B711A"/>
    <w:rsid w:val="252D38A1"/>
    <w:rsid w:val="255843E6"/>
    <w:rsid w:val="255B5F85"/>
    <w:rsid w:val="257C0079"/>
    <w:rsid w:val="25AD0D49"/>
    <w:rsid w:val="25AD1D29"/>
    <w:rsid w:val="25B1714A"/>
    <w:rsid w:val="25B667E9"/>
    <w:rsid w:val="25D028D3"/>
    <w:rsid w:val="25ED63F5"/>
    <w:rsid w:val="25FA0111"/>
    <w:rsid w:val="25FF61C2"/>
    <w:rsid w:val="261F4A0D"/>
    <w:rsid w:val="26352076"/>
    <w:rsid w:val="263A7949"/>
    <w:rsid w:val="2645772C"/>
    <w:rsid w:val="26655ED7"/>
    <w:rsid w:val="2667355F"/>
    <w:rsid w:val="26775B3F"/>
    <w:rsid w:val="26C26733"/>
    <w:rsid w:val="26C84133"/>
    <w:rsid w:val="26F65E7F"/>
    <w:rsid w:val="27434663"/>
    <w:rsid w:val="276A72C9"/>
    <w:rsid w:val="278C0EE3"/>
    <w:rsid w:val="27956A9F"/>
    <w:rsid w:val="27BC4CA5"/>
    <w:rsid w:val="27CF1977"/>
    <w:rsid w:val="27D61593"/>
    <w:rsid w:val="27DD3B75"/>
    <w:rsid w:val="280D0761"/>
    <w:rsid w:val="28110AD4"/>
    <w:rsid w:val="28335BE9"/>
    <w:rsid w:val="2841047C"/>
    <w:rsid w:val="284E2007"/>
    <w:rsid w:val="28574FC9"/>
    <w:rsid w:val="285801ED"/>
    <w:rsid w:val="285C48E7"/>
    <w:rsid w:val="28753DF3"/>
    <w:rsid w:val="28794680"/>
    <w:rsid w:val="288220E0"/>
    <w:rsid w:val="28975EA7"/>
    <w:rsid w:val="289A4C61"/>
    <w:rsid w:val="28C00D5D"/>
    <w:rsid w:val="28D15BE0"/>
    <w:rsid w:val="28F45E85"/>
    <w:rsid w:val="292346E2"/>
    <w:rsid w:val="29282A9E"/>
    <w:rsid w:val="293660A6"/>
    <w:rsid w:val="29486EEE"/>
    <w:rsid w:val="294A529B"/>
    <w:rsid w:val="296B34F2"/>
    <w:rsid w:val="297A319D"/>
    <w:rsid w:val="298621B8"/>
    <w:rsid w:val="29BE0795"/>
    <w:rsid w:val="29D21865"/>
    <w:rsid w:val="29D97E1B"/>
    <w:rsid w:val="2A1A4869"/>
    <w:rsid w:val="2A2D2BEB"/>
    <w:rsid w:val="2A3057A1"/>
    <w:rsid w:val="2A425A04"/>
    <w:rsid w:val="2A4D78AA"/>
    <w:rsid w:val="2AA52E68"/>
    <w:rsid w:val="2AB564B4"/>
    <w:rsid w:val="2ABE067E"/>
    <w:rsid w:val="2AEA5A76"/>
    <w:rsid w:val="2AF45CEF"/>
    <w:rsid w:val="2B0C1A1A"/>
    <w:rsid w:val="2B182AFF"/>
    <w:rsid w:val="2B252B47"/>
    <w:rsid w:val="2B276712"/>
    <w:rsid w:val="2B702A72"/>
    <w:rsid w:val="2B8B087A"/>
    <w:rsid w:val="2BB1313A"/>
    <w:rsid w:val="2BC22CC2"/>
    <w:rsid w:val="2BCA7B6E"/>
    <w:rsid w:val="2BD818BA"/>
    <w:rsid w:val="2BE74D29"/>
    <w:rsid w:val="2BFA0C7E"/>
    <w:rsid w:val="2BFD1C18"/>
    <w:rsid w:val="2C0230CE"/>
    <w:rsid w:val="2C151665"/>
    <w:rsid w:val="2C217795"/>
    <w:rsid w:val="2C452FB1"/>
    <w:rsid w:val="2C597B4A"/>
    <w:rsid w:val="2C7219CE"/>
    <w:rsid w:val="2CA24B64"/>
    <w:rsid w:val="2CAD1ABC"/>
    <w:rsid w:val="2CCF79D7"/>
    <w:rsid w:val="2CDF21CA"/>
    <w:rsid w:val="2CE548F3"/>
    <w:rsid w:val="2CEC12C2"/>
    <w:rsid w:val="2CF20EFF"/>
    <w:rsid w:val="2CFC40C6"/>
    <w:rsid w:val="2D043A07"/>
    <w:rsid w:val="2D425241"/>
    <w:rsid w:val="2D6D6FB4"/>
    <w:rsid w:val="2D802623"/>
    <w:rsid w:val="2D8772B7"/>
    <w:rsid w:val="2D8F6CE0"/>
    <w:rsid w:val="2D9E419F"/>
    <w:rsid w:val="2DBA2271"/>
    <w:rsid w:val="2DE371D8"/>
    <w:rsid w:val="2E0B0362"/>
    <w:rsid w:val="2E1C11AF"/>
    <w:rsid w:val="2E34590E"/>
    <w:rsid w:val="2E713F87"/>
    <w:rsid w:val="2E8F026B"/>
    <w:rsid w:val="2EA31C82"/>
    <w:rsid w:val="2EC51E40"/>
    <w:rsid w:val="2ED50693"/>
    <w:rsid w:val="2EDA350A"/>
    <w:rsid w:val="2EF51D7F"/>
    <w:rsid w:val="2EFA2948"/>
    <w:rsid w:val="2EFE7265"/>
    <w:rsid w:val="2F337C63"/>
    <w:rsid w:val="2F352F92"/>
    <w:rsid w:val="2F4C4DE0"/>
    <w:rsid w:val="2F555121"/>
    <w:rsid w:val="2F5F48FC"/>
    <w:rsid w:val="2F66087F"/>
    <w:rsid w:val="2F7E641A"/>
    <w:rsid w:val="2F9268DF"/>
    <w:rsid w:val="2F9B2B81"/>
    <w:rsid w:val="2F9E7394"/>
    <w:rsid w:val="2FB478AE"/>
    <w:rsid w:val="2FE1738F"/>
    <w:rsid w:val="2FE81ADE"/>
    <w:rsid w:val="2FEC6C88"/>
    <w:rsid w:val="2FFC47F2"/>
    <w:rsid w:val="2FFD49AA"/>
    <w:rsid w:val="30015086"/>
    <w:rsid w:val="30387384"/>
    <w:rsid w:val="303C6421"/>
    <w:rsid w:val="304D0472"/>
    <w:rsid w:val="30585795"/>
    <w:rsid w:val="30A11346"/>
    <w:rsid w:val="30B9770D"/>
    <w:rsid w:val="30BC694E"/>
    <w:rsid w:val="30D22A58"/>
    <w:rsid w:val="30D37574"/>
    <w:rsid w:val="30FD60E9"/>
    <w:rsid w:val="31067158"/>
    <w:rsid w:val="31077C29"/>
    <w:rsid w:val="311216AF"/>
    <w:rsid w:val="31263AD4"/>
    <w:rsid w:val="313D5903"/>
    <w:rsid w:val="3172144D"/>
    <w:rsid w:val="317F474C"/>
    <w:rsid w:val="318F7601"/>
    <w:rsid w:val="3194685C"/>
    <w:rsid w:val="31AC45E5"/>
    <w:rsid w:val="31AF514F"/>
    <w:rsid w:val="31B35740"/>
    <w:rsid w:val="31DA3A6C"/>
    <w:rsid w:val="31E33508"/>
    <w:rsid w:val="31E745ED"/>
    <w:rsid w:val="31FA3059"/>
    <w:rsid w:val="31FD4DB8"/>
    <w:rsid w:val="322A6A43"/>
    <w:rsid w:val="32513DD1"/>
    <w:rsid w:val="32714655"/>
    <w:rsid w:val="328E6BAF"/>
    <w:rsid w:val="32B4717E"/>
    <w:rsid w:val="32CB275D"/>
    <w:rsid w:val="32ED7C36"/>
    <w:rsid w:val="32FC6F97"/>
    <w:rsid w:val="33061A8F"/>
    <w:rsid w:val="330724BC"/>
    <w:rsid w:val="332408D9"/>
    <w:rsid w:val="33300A49"/>
    <w:rsid w:val="333323C5"/>
    <w:rsid w:val="33491200"/>
    <w:rsid w:val="334E082D"/>
    <w:rsid w:val="335E62D6"/>
    <w:rsid w:val="33751A9D"/>
    <w:rsid w:val="33AC0250"/>
    <w:rsid w:val="33C56E72"/>
    <w:rsid w:val="33FA49E8"/>
    <w:rsid w:val="33FB2FAD"/>
    <w:rsid w:val="34291D1D"/>
    <w:rsid w:val="345152A4"/>
    <w:rsid w:val="346A5C98"/>
    <w:rsid w:val="34832BBA"/>
    <w:rsid w:val="348A3A17"/>
    <w:rsid w:val="348D4806"/>
    <w:rsid w:val="34A167B2"/>
    <w:rsid w:val="34A7692B"/>
    <w:rsid w:val="34B10BF9"/>
    <w:rsid w:val="34BF2176"/>
    <w:rsid w:val="34C34104"/>
    <w:rsid w:val="34CA78E6"/>
    <w:rsid w:val="34CD0680"/>
    <w:rsid w:val="34D119D5"/>
    <w:rsid w:val="34E46C32"/>
    <w:rsid w:val="34E6075F"/>
    <w:rsid w:val="34F14F80"/>
    <w:rsid w:val="351931C3"/>
    <w:rsid w:val="35394637"/>
    <w:rsid w:val="353E2562"/>
    <w:rsid w:val="3556048A"/>
    <w:rsid w:val="356A084A"/>
    <w:rsid w:val="357627E0"/>
    <w:rsid w:val="359B3A5E"/>
    <w:rsid w:val="35AA3E12"/>
    <w:rsid w:val="35AC588C"/>
    <w:rsid w:val="35B30751"/>
    <w:rsid w:val="35BD060E"/>
    <w:rsid w:val="35C22C1B"/>
    <w:rsid w:val="35D30542"/>
    <w:rsid w:val="3603064B"/>
    <w:rsid w:val="3603674C"/>
    <w:rsid w:val="362C58AA"/>
    <w:rsid w:val="36764EF1"/>
    <w:rsid w:val="368C518E"/>
    <w:rsid w:val="36C143D8"/>
    <w:rsid w:val="36F46EB0"/>
    <w:rsid w:val="3722259E"/>
    <w:rsid w:val="37541235"/>
    <w:rsid w:val="377423FD"/>
    <w:rsid w:val="37755A64"/>
    <w:rsid w:val="3786748D"/>
    <w:rsid w:val="378C4E3B"/>
    <w:rsid w:val="37B55560"/>
    <w:rsid w:val="37C24F22"/>
    <w:rsid w:val="37EB378B"/>
    <w:rsid w:val="381F4EC7"/>
    <w:rsid w:val="384B3C71"/>
    <w:rsid w:val="384D1125"/>
    <w:rsid w:val="388C2E92"/>
    <w:rsid w:val="38942243"/>
    <w:rsid w:val="38B30BB9"/>
    <w:rsid w:val="38BA7676"/>
    <w:rsid w:val="38BD38C1"/>
    <w:rsid w:val="390B0832"/>
    <w:rsid w:val="391F7D58"/>
    <w:rsid w:val="39520D53"/>
    <w:rsid w:val="398F2138"/>
    <w:rsid w:val="39912214"/>
    <w:rsid w:val="399F1808"/>
    <w:rsid w:val="399F439A"/>
    <w:rsid w:val="39B1319A"/>
    <w:rsid w:val="3A07050A"/>
    <w:rsid w:val="3A111BE9"/>
    <w:rsid w:val="3A2B0B40"/>
    <w:rsid w:val="3A2E1CAC"/>
    <w:rsid w:val="3A44688C"/>
    <w:rsid w:val="3A561E5E"/>
    <w:rsid w:val="3A5C63E9"/>
    <w:rsid w:val="3A734059"/>
    <w:rsid w:val="3A8977DC"/>
    <w:rsid w:val="3AAE4E20"/>
    <w:rsid w:val="3AB17BCE"/>
    <w:rsid w:val="3AC82627"/>
    <w:rsid w:val="3ACA37C8"/>
    <w:rsid w:val="3AEA62B6"/>
    <w:rsid w:val="3B262D3C"/>
    <w:rsid w:val="3B317977"/>
    <w:rsid w:val="3B337930"/>
    <w:rsid w:val="3B615FC3"/>
    <w:rsid w:val="3B640BCE"/>
    <w:rsid w:val="3B8E78B1"/>
    <w:rsid w:val="3BBB7AC8"/>
    <w:rsid w:val="3BBB7E7A"/>
    <w:rsid w:val="3BBC59C6"/>
    <w:rsid w:val="3BC459C8"/>
    <w:rsid w:val="3BD02724"/>
    <w:rsid w:val="3BEF367B"/>
    <w:rsid w:val="3BF41839"/>
    <w:rsid w:val="3C0213D0"/>
    <w:rsid w:val="3C26562C"/>
    <w:rsid w:val="3C2C25D0"/>
    <w:rsid w:val="3C2D0907"/>
    <w:rsid w:val="3C311BAB"/>
    <w:rsid w:val="3C3850DE"/>
    <w:rsid w:val="3C450CF2"/>
    <w:rsid w:val="3C477A00"/>
    <w:rsid w:val="3C4F47F6"/>
    <w:rsid w:val="3C5755FE"/>
    <w:rsid w:val="3C7046B1"/>
    <w:rsid w:val="3C71594D"/>
    <w:rsid w:val="3C7D5C97"/>
    <w:rsid w:val="3C9B5517"/>
    <w:rsid w:val="3CA872E2"/>
    <w:rsid w:val="3CA9320A"/>
    <w:rsid w:val="3CBD6BD4"/>
    <w:rsid w:val="3CBE07EF"/>
    <w:rsid w:val="3CDA49E3"/>
    <w:rsid w:val="3CDA6562"/>
    <w:rsid w:val="3CE30FA5"/>
    <w:rsid w:val="3D1462BB"/>
    <w:rsid w:val="3D186B19"/>
    <w:rsid w:val="3D1B3475"/>
    <w:rsid w:val="3D3D15CF"/>
    <w:rsid w:val="3D5159FA"/>
    <w:rsid w:val="3D6E6DC3"/>
    <w:rsid w:val="3D792E37"/>
    <w:rsid w:val="3D991E10"/>
    <w:rsid w:val="3DC72EA0"/>
    <w:rsid w:val="3DDC78D4"/>
    <w:rsid w:val="3DE0337D"/>
    <w:rsid w:val="3DF9613F"/>
    <w:rsid w:val="3E025AEF"/>
    <w:rsid w:val="3E0C2879"/>
    <w:rsid w:val="3E1019CF"/>
    <w:rsid w:val="3E337B8F"/>
    <w:rsid w:val="3E3A31D5"/>
    <w:rsid w:val="3E403952"/>
    <w:rsid w:val="3E494366"/>
    <w:rsid w:val="3E4A6008"/>
    <w:rsid w:val="3E5A312A"/>
    <w:rsid w:val="3E711DFE"/>
    <w:rsid w:val="3E8402E9"/>
    <w:rsid w:val="3E854EE0"/>
    <w:rsid w:val="3EC3792B"/>
    <w:rsid w:val="3EDF08EA"/>
    <w:rsid w:val="3EE25D05"/>
    <w:rsid w:val="3EE90D02"/>
    <w:rsid w:val="3F03716F"/>
    <w:rsid w:val="3F2704A4"/>
    <w:rsid w:val="3F471798"/>
    <w:rsid w:val="3F556C65"/>
    <w:rsid w:val="3F8D4025"/>
    <w:rsid w:val="3F967D58"/>
    <w:rsid w:val="3F9A2148"/>
    <w:rsid w:val="3FB81BD5"/>
    <w:rsid w:val="3FF227D6"/>
    <w:rsid w:val="3FF770DC"/>
    <w:rsid w:val="3FF84666"/>
    <w:rsid w:val="4038030E"/>
    <w:rsid w:val="403F3A6C"/>
    <w:rsid w:val="404E5ECC"/>
    <w:rsid w:val="40626175"/>
    <w:rsid w:val="40AC3D56"/>
    <w:rsid w:val="40EB16B5"/>
    <w:rsid w:val="40EE1250"/>
    <w:rsid w:val="40F0483B"/>
    <w:rsid w:val="413A4EEE"/>
    <w:rsid w:val="41580928"/>
    <w:rsid w:val="41690B13"/>
    <w:rsid w:val="4169595F"/>
    <w:rsid w:val="418D1F6F"/>
    <w:rsid w:val="419A64F5"/>
    <w:rsid w:val="41BA4682"/>
    <w:rsid w:val="41F60343"/>
    <w:rsid w:val="41FB5588"/>
    <w:rsid w:val="42297CF3"/>
    <w:rsid w:val="42616062"/>
    <w:rsid w:val="427954EC"/>
    <w:rsid w:val="428243C5"/>
    <w:rsid w:val="428E0ABD"/>
    <w:rsid w:val="428F439B"/>
    <w:rsid w:val="42997733"/>
    <w:rsid w:val="42A20A88"/>
    <w:rsid w:val="42B262D8"/>
    <w:rsid w:val="42B50FE9"/>
    <w:rsid w:val="42D64E10"/>
    <w:rsid w:val="42DC237F"/>
    <w:rsid w:val="42E37EF9"/>
    <w:rsid w:val="42E653DE"/>
    <w:rsid w:val="430B1546"/>
    <w:rsid w:val="43467DA0"/>
    <w:rsid w:val="434F5A21"/>
    <w:rsid w:val="435858FB"/>
    <w:rsid w:val="43594D15"/>
    <w:rsid w:val="43624558"/>
    <w:rsid w:val="439B3A4C"/>
    <w:rsid w:val="43A007BB"/>
    <w:rsid w:val="43A501F9"/>
    <w:rsid w:val="43AE2302"/>
    <w:rsid w:val="43BC5999"/>
    <w:rsid w:val="43BD5559"/>
    <w:rsid w:val="43D70885"/>
    <w:rsid w:val="43E05AE3"/>
    <w:rsid w:val="43E5650D"/>
    <w:rsid w:val="43EE0505"/>
    <w:rsid w:val="43EF5FB2"/>
    <w:rsid w:val="43F5319A"/>
    <w:rsid w:val="43F939BC"/>
    <w:rsid w:val="44225671"/>
    <w:rsid w:val="442B6A91"/>
    <w:rsid w:val="442D3688"/>
    <w:rsid w:val="44390907"/>
    <w:rsid w:val="444E2547"/>
    <w:rsid w:val="446C6CA5"/>
    <w:rsid w:val="447109EC"/>
    <w:rsid w:val="448367A5"/>
    <w:rsid w:val="44851016"/>
    <w:rsid w:val="44877659"/>
    <w:rsid w:val="449B398C"/>
    <w:rsid w:val="44AD0480"/>
    <w:rsid w:val="44BE3663"/>
    <w:rsid w:val="44E44D8C"/>
    <w:rsid w:val="44EA2E73"/>
    <w:rsid w:val="44ED199A"/>
    <w:rsid w:val="45040C50"/>
    <w:rsid w:val="45095F4A"/>
    <w:rsid w:val="45361081"/>
    <w:rsid w:val="454842DD"/>
    <w:rsid w:val="45522FB6"/>
    <w:rsid w:val="45851956"/>
    <w:rsid w:val="4589516D"/>
    <w:rsid w:val="45DB3384"/>
    <w:rsid w:val="45E872DA"/>
    <w:rsid w:val="45FB16AE"/>
    <w:rsid w:val="461F3094"/>
    <w:rsid w:val="46203B04"/>
    <w:rsid w:val="46255A67"/>
    <w:rsid w:val="462E0959"/>
    <w:rsid w:val="464442FA"/>
    <w:rsid w:val="46507220"/>
    <w:rsid w:val="465366F2"/>
    <w:rsid w:val="465A069F"/>
    <w:rsid w:val="465B7E4D"/>
    <w:rsid w:val="46792DBD"/>
    <w:rsid w:val="467950DF"/>
    <w:rsid w:val="46951587"/>
    <w:rsid w:val="46997561"/>
    <w:rsid w:val="46B0208E"/>
    <w:rsid w:val="46D71130"/>
    <w:rsid w:val="46F72EE4"/>
    <w:rsid w:val="47094AD1"/>
    <w:rsid w:val="47245A6C"/>
    <w:rsid w:val="472E6F95"/>
    <w:rsid w:val="4761785F"/>
    <w:rsid w:val="47A056A6"/>
    <w:rsid w:val="47B27D4D"/>
    <w:rsid w:val="47D37669"/>
    <w:rsid w:val="47D9024E"/>
    <w:rsid w:val="47DB44F7"/>
    <w:rsid w:val="47DD77B9"/>
    <w:rsid w:val="47F25E7B"/>
    <w:rsid w:val="47F407DA"/>
    <w:rsid w:val="480C7D35"/>
    <w:rsid w:val="483C0372"/>
    <w:rsid w:val="48945BCF"/>
    <w:rsid w:val="48985238"/>
    <w:rsid w:val="48B702BE"/>
    <w:rsid w:val="48F0556D"/>
    <w:rsid w:val="48F712F0"/>
    <w:rsid w:val="48FA205E"/>
    <w:rsid w:val="493416EA"/>
    <w:rsid w:val="493F5231"/>
    <w:rsid w:val="49414160"/>
    <w:rsid w:val="4957520A"/>
    <w:rsid w:val="49661F6B"/>
    <w:rsid w:val="49741D7C"/>
    <w:rsid w:val="497C21BE"/>
    <w:rsid w:val="49C15257"/>
    <w:rsid w:val="49DC1885"/>
    <w:rsid w:val="49DD4482"/>
    <w:rsid w:val="49DF3E0C"/>
    <w:rsid w:val="4A113C62"/>
    <w:rsid w:val="4A3005C1"/>
    <w:rsid w:val="4A47019A"/>
    <w:rsid w:val="4A6D2BE9"/>
    <w:rsid w:val="4A9401B9"/>
    <w:rsid w:val="4ABB4274"/>
    <w:rsid w:val="4AC3348F"/>
    <w:rsid w:val="4AC81C53"/>
    <w:rsid w:val="4B057DCB"/>
    <w:rsid w:val="4B1811AB"/>
    <w:rsid w:val="4B244F56"/>
    <w:rsid w:val="4B2C67A0"/>
    <w:rsid w:val="4B544BC2"/>
    <w:rsid w:val="4B624AFB"/>
    <w:rsid w:val="4B7F1F55"/>
    <w:rsid w:val="4B8A51A3"/>
    <w:rsid w:val="4BB17BC4"/>
    <w:rsid w:val="4BC2446A"/>
    <w:rsid w:val="4BCF360E"/>
    <w:rsid w:val="4BD44864"/>
    <w:rsid w:val="4C0A2C21"/>
    <w:rsid w:val="4C3F7A7F"/>
    <w:rsid w:val="4C585050"/>
    <w:rsid w:val="4C672782"/>
    <w:rsid w:val="4C6832C7"/>
    <w:rsid w:val="4CA328FA"/>
    <w:rsid w:val="4CAC7A65"/>
    <w:rsid w:val="4CB50845"/>
    <w:rsid w:val="4CC4524D"/>
    <w:rsid w:val="4CC71708"/>
    <w:rsid w:val="4D0F49C6"/>
    <w:rsid w:val="4D39536B"/>
    <w:rsid w:val="4D5048FD"/>
    <w:rsid w:val="4D5A193C"/>
    <w:rsid w:val="4DA2390B"/>
    <w:rsid w:val="4DA57AD5"/>
    <w:rsid w:val="4DB71841"/>
    <w:rsid w:val="4DB90411"/>
    <w:rsid w:val="4DC41BEF"/>
    <w:rsid w:val="4DF22865"/>
    <w:rsid w:val="4E1816FD"/>
    <w:rsid w:val="4E1A10C8"/>
    <w:rsid w:val="4E353A6D"/>
    <w:rsid w:val="4E6A74D0"/>
    <w:rsid w:val="4E6D5DB6"/>
    <w:rsid w:val="4E814BA5"/>
    <w:rsid w:val="4EB72FD8"/>
    <w:rsid w:val="4EC9346E"/>
    <w:rsid w:val="4EC966FE"/>
    <w:rsid w:val="4EDF7D4D"/>
    <w:rsid w:val="4EEE162C"/>
    <w:rsid w:val="4F007FCF"/>
    <w:rsid w:val="4F0171DF"/>
    <w:rsid w:val="4F2D0C26"/>
    <w:rsid w:val="4F964839"/>
    <w:rsid w:val="4FB12FC8"/>
    <w:rsid w:val="4FD73DE7"/>
    <w:rsid w:val="4FE82B44"/>
    <w:rsid w:val="4FEA62E3"/>
    <w:rsid w:val="4FF77864"/>
    <w:rsid w:val="4FFC7251"/>
    <w:rsid w:val="50395D00"/>
    <w:rsid w:val="504300B4"/>
    <w:rsid w:val="505047E5"/>
    <w:rsid w:val="50531FF5"/>
    <w:rsid w:val="50540131"/>
    <w:rsid w:val="505635E3"/>
    <w:rsid w:val="50640C70"/>
    <w:rsid w:val="50790A9C"/>
    <w:rsid w:val="50834546"/>
    <w:rsid w:val="508546FA"/>
    <w:rsid w:val="508E7725"/>
    <w:rsid w:val="50B450B6"/>
    <w:rsid w:val="50B963E4"/>
    <w:rsid w:val="50C3421D"/>
    <w:rsid w:val="50CB2EA2"/>
    <w:rsid w:val="50DD3FE0"/>
    <w:rsid w:val="50EB1E8A"/>
    <w:rsid w:val="50ED02A1"/>
    <w:rsid w:val="50F2613C"/>
    <w:rsid w:val="50F7299B"/>
    <w:rsid w:val="51237463"/>
    <w:rsid w:val="51650476"/>
    <w:rsid w:val="51716E7B"/>
    <w:rsid w:val="51826C12"/>
    <w:rsid w:val="519043D3"/>
    <w:rsid w:val="519213C9"/>
    <w:rsid w:val="51A15903"/>
    <w:rsid w:val="51A25DB4"/>
    <w:rsid w:val="51AD4B05"/>
    <w:rsid w:val="51B3658F"/>
    <w:rsid w:val="51B47AD5"/>
    <w:rsid w:val="51BD7142"/>
    <w:rsid w:val="51CE394F"/>
    <w:rsid w:val="51D529C5"/>
    <w:rsid w:val="51F559AD"/>
    <w:rsid w:val="51F7416B"/>
    <w:rsid w:val="51FC3BFF"/>
    <w:rsid w:val="520B52C0"/>
    <w:rsid w:val="520E30B3"/>
    <w:rsid w:val="522B3A41"/>
    <w:rsid w:val="525837F0"/>
    <w:rsid w:val="52610D94"/>
    <w:rsid w:val="5279134E"/>
    <w:rsid w:val="52A32756"/>
    <w:rsid w:val="52A561DB"/>
    <w:rsid w:val="52B3619D"/>
    <w:rsid w:val="52DC1F49"/>
    <w:rsid w:val="52F52049"/>
    <w:rsid w:val="530C4301"/>
    <w:rsid w:val="531720BE"/>
    <w:rsid w:val="534849AA"/>
    <w:rsid w:val="534E4F03"/>
    <w:rsid w:val="53554380"/>
    <w:rsid w:val="53594870"/>
    <w:rsid w:val="535B58D3"/>
    <w:rsid w:val="536B3E12"/>
    <w:rsid w:val="538C304C"/>
    <w:rsid w:val="53AA781C"/>
    <w:rsid w:val="53AE72C4"/>
    <w:rsid w:val="53AF59C7"/>
    <w:rsid w:val="53F2710A"/>
    <w:rsid w:val="540C0885"/>
    <w:rsid w:val="542A3B4B"/>
    <w:rsid w:val="54304667"/>
    <w:rsid w:val="543A7B99"/>
    <w:rsid w:val="5444507C"/>
    <w:rsid w:val="547C0700"/>
    <w:rsid w:val="54A75302"/>
    <w:rsid w:val="553325FE"/>
    <w:rsid w:val="55403C26"/>
    <w:rsid w:val="555D2017"/>
    <w:rsid w:val="5571495C"/>
    <w:rsid w:val="558D06F3"/>
    <w:rsid w:val="559E0D3C"/>
    <w:rsid w:val="55C74EE5"/>
    <w:rsid w:val="55CE1053"/>
    <w:rsid w:val="55D934BC"/>
    <w:rsid w:val="55E10362"/>
    <w:rsid w:val="55E5709D"/>
    <w:rsid w:val="55F5425C"/>
    <w:rsid w:val="56041F2E"/>
    <w:rsid w:val="560E253A"/>
    <w:rsid w:val="56432ACE"/>
    <w:rsid w:val="565B2C91"/>
    <w:rsid w:val="56797A12"/>
    <w:rsid w:val="56B70384"/>
    <w:rsid w:val="56EB31B1"/>
    <w:rsid w:val="56EB7CE0"/>
    <w:rsid w:val="571208D2"/>
    <w:rsid w:val="57235431"/>
    <w:rsid w:val="57537C7E"/>
    <w:rsid w:val="575435C9"/>
    <w:rsid w:val="576B5FBB"/>
    <w:rsid w:val="57713137"/>
    <w:rsid w:val="5778495C"/>
    <w:rsid w:val="57830F54"/>
    <w:rsid w:val="578E4D17"/>
    <w:rsid w:val="57C56250"/>
    <w:rsid w:val="57E442D7"/>
    <w:rsid w:val="57EB4D36"/>
    <w:rsid w:val="57F30063"/>
    <w:rsid w:val="58096124"/>
    <w:rsid w:val="581321E4"/>
    <w:rsid w:val="58410834"/>
    <w:rsid w:val="5859682B"/>
    <w:rsid w:val="586F62C6"/>
    <w:rsid w:val="58840F17"/>
    <w:rsid w:val="588F3920"/>
    <w:rsid w:val="58923EC5"/>
    <w:rsid w:val="58A975A3"/>
    <w:rsid w:val="58B54A02"/>
    <w:rsid w:val="58BD5F93"/>
    <w:rsid w:val="58D90C66"/>
    <w:rsid w:val="59054334"/>
    <w:rsid w:val="59276E00"/>
    <w:rsid w:val="593901A1"/>
    <w:rsid w:val="595403CC"/>
    <w:rsid w:val="59693FF4"/>
    <w:rsid w:val="59777659"/>
    <w:rsid w:val="598710B5"/>
    <w:rsid w:val="598C287F"/>
    <w:rsid w:val="59E10DAD"/>
    <w:rsid w:val="59E63386"/>
    <w:rsid w:val="59E8726F"/>
    <w:rsid w:val="5A0B6D0E"/>
    <w:rsid w:val="5A1F34FD"/>
    <w:rsid w:val="5A2A4F32"/>
    <w:rsid w:val="5A3A204E"/>
    <w:rsid w:val="5A3E6CF3"/>
    <w:rsid w:val="5A6C4152"/>
    <w:rsid w:val="5A8232BE"/>
    <w:rsid w:val="5A93530E"/>
    <w:rsid w:val="5AA34CCC"/>
    <w:rsid w:val="5AA4672F"/>
    <w:rsid w:val="5AAC054D"/>
    <w:rsid w:val="5AAF177B"/>
    <w:rsid w:val="5AEA63A4"/>
    <w:rsid w:val="5B086AA1"/>
    <w:rsid w:val="5B0F2152"/>
    <w:rsid w:val="5B342D20"/>
    <w:rsid w:val="5B44729C"/>
    <w:rsid w:val="5B710128"/>
    <w:rsid w:val="5B7248F6"/>
    <w:rsid w:val="5B7D1A28"/>
    <w:rsid w:val="5B867482"/>
    <w:rsid w:val="5B9E202D"/>
    <w:rsid w:val="5BB8332E"/>
    <w:rsid w:val="5BD87A64"/>
    <w:rsid w:val="5BE37CA7"/>
    <w:rsid w:val="5BEF17B8"/>
    <w:rsid w:val="5BFA7C07"/>
    <w:rsid w:val="5C002B8D"/>
    <w:rsid w:val="5C041CDB"/>
    <w:rsid w:val="5C1E6922"/>
    <w:rsid w:val="5C2B7624"/>
    <w:rsid w:val="5C3150CB"/>
    <w:rsid w:val="5C403948"/>
    <w:rsid w:val="5C4A07C3"/>
    <w:rsid w:val="5C4F35B1"/>
    <w:rsid w:val="5C530C01"/>
    <w:rsid w:val="5C7526C0"/>
    <w:rsid w:val="5C804D7A"/>
    <w:rsid w:val="5CC01B42"/>
    <w:rsid w:val="5CE36A9C"/>
    <w:rsid w:val="5CE76BBD"/>
    <w:rsid w:val="5CEB4E25"/>
    <w:rsid w:val="5CF71E09"/>
    <w:rsid w:val="5D2610AB"/>
    <w:rsid w:val="5D277D5F"/>
    <w:rsid w:val="5D283D2E"/>
    <w:rsid w:val="5D397651"/>
    <w:rsid w:val="5D50760A"/>
    <w:rsid w:val="5D6119AB"/>
    <w:rsid w:val="5D655458"/>
    <w:rsid w:val="5D716C10"/>
    <w:rsid w:val="5D893D0E"/>
    <w:rsid w:val="5D9C5503"/>
    <w:rsid w:val="5DB56CD7"/>
    <w:rsid w:val="5DBD30BA"/>
    <w:rsid w:val="5DCB1A78"/>
    <w:rsid w:val="5DE12403"/>
    <w:rsid w:val="5DFB049C"/>
    <w:rsid w:val="5E1F0911"/>
    <w:rsid w:val="5E705ADF"/>
    <w:rsid w:val="5EE60A80"/>
    <w:rsid w:val="5F0E2A77"/>
    <w:rsid w:val="5F1B4C72"/>
    <w:rsid w:val="5FA9760C"/>
    <w:rsid w:val="5FAE33E1"/>
    <w:rsid w:val="5FC910FA"/>
    <w:rsid w:val="5FC92D16"/>
    <w:rsid w:val="5FFD5AED"/>
    <w:rsid w:val="60477FDE"/>
    <w:rsid w:val="60583587"/>
    <w:rsid w:val="60634D4E"/>
    <w:rsid w:val="6090381C"/>
    <w:rsid w:val="60A149CF"/>
    <w:rsid w:val="60A57770"/>
    <w:rsid w:val="60AD0D27"/>
    <w:rsid w:val="60B94B36"/>
    <w:rsid w:val="60BD082D"/>
    <w:rsid w:val="60D963BA"/>
    <w:rsid w:val="61020455"/>
    <w:rsid w:val="610D4BAC"/>
    <w:rsid w:val="61307380"/>
    <w:rsid w:val="61383735"/>
    <w:rsid w:val="613C0A64"/>
    <w:rsid w:val="614321AA"/>
    <w:rsid w:val="61530C72"/>
    <w:rsid w:val="61593750"/>
    <w:rsid w:val="6160161B"/>
    <w:rsid w:val="6168023F"/>
    <w:rsid w:val="616E0D31"/>
    <w:rsid w:val="617F15BA"/>
    <w:rsid w:val="61846411"/>
    <w:rsid w:val="6192462C"/>
    <w:rsid w:val="619316E9"/>
    <w:rsid w:val="619F3BA3"/>
    <w:rsid w:val="61AF1D40"/>
    <w:rsid w:val="61C92D99"/>
    <w:rsid w:val="61DA0757"/>
    <w:rsid w:val="61DA67CB"/>
    <w:rsid w:val="623424B1"/>
    <w:rsid w:val="623869D3"/>
    <w:rsid w:val="623F1A6A"/>
    <w:rsid w:val="62584CBA"/>
    <w:rsid w:val="6259707B"/>
    <w:rsid w:val="625F0422"/>
    <w:rsid w:val="626600CB"/>
    <w:rsid w:val="6267711B"/>
    <w:rsid w:val="629E5CF5"/>
    <w:rsid w:val="630F489D"/>
    <w:rsid w:val="63341C17"/>
    <w:rsid w:val="638757B1"/>
    <w:rsid w:val="638B0418"/>
    <w:rsid w:val="63A52AE3"/>
    <w:rsid w:val="63A725AF"/>
    <w:rsid w:val="63B26332"/>
    <w:rsid w:val="63D16DD0"/>
    <w:rsid w:val="63D35F9A"/>
    <w:rsid w:val="63D64384"/>
    <w:rsid w:val="63EC0F68"/>
    <w:rsid w:val="64212ADD"/>
    <w:rsid w:val="642A532A"/>
    <w:rsid w:val="64373AE5"/>
    <w:rsid w:val="644D1A7B"/>
    <w:rsid w:val="64706AA9"/>
    <w:rsid w:val="6488234E"/>
    <w:rsid w:val="64AE4790"/>
    <w:rsid w:val="64B907F3"/>
    <w:rsid w:val="64C2077C"/>
    <w:rsid w:val="64D57D36"/>
    <w:rsid w:val="64EF739D"/>
    <w:rsid w:val="64F310BB"/>
    <w:rsid w:val="650E4274"/>
    <w:rsid w:val="653A7AA5"/>
    <w:rsid w:val="653C5BC0"/>
    <w:rsid w:val="65485551"/>
    <w:rsid w:val="65565022"/>
    <w:rsid w:val="656835B1"/>
    <w:rsid w:val="65BA5E25"/>
    <w:rsid w:val="65BF32C8"/>
    <w:rsid w:val="65C4683E"/>
    <w:rsid w:val="65DE7585"/>
    <w:rsid w:val="65EA1B21"/>
    <w:rsid w:val="66063379"/>
    <w:rsid w:val="661955DF"/>
    <w:rsid w:val="662C3FFD"/>
    <w:rsid w:val="662E6AAC"/>
    <w:rsid w:val="664E41FA"/>
    <w:rsid w:val="665C1CB2"/>
    <w:rsid w:val="66614C29"/>
    <w:rsid w:val="666F34F3"/>
    <w:rsid w:val="66716C88"/>
    <w:rsid w:val="66851626"/>
    <w:rsid w:val="668F2C47"/>
    <w:rsid w:val="66B40EB9"/>
    <w:rsid w:val="66D22F7E"/>
    <w:rsid w:val="66E103D7"/>
    <w:rsid w:val="66F16F51"/>
    <w:rsid w:val="66F556F6"/>
    <w:rsid w:val="66FA352D"/>
    <w:rsid w:val="670C3B58"/>
    <w:rsid w:val="67135493"/>
    <w:rsid w:val="67211738"/>
    <w:rsid w:val="6729104E"/>
    <w:rsid w:val="672D1F02"/>
    <w:rsid w:val="67585854"/>
    <w:rsid w:val="676533F8"/>
    <w:rsid w:val="67882BAF"/>
    <w:rsid w:val="67912CB7"/>
    <w:rsid w:val="6794524E"/>
    <w:rsid w:val="67D459AB"/>
    <w:rsid w:val="67D5458A"/>
    <w:rsid w:val="67E97E98"/>
    <w:rsid w:val="67F20D3A"/>
    <w:rsid w:val="68050035"/>
    <w:rsid w:val="6805623A"/>
    <w:rsid w:val="68082BC4"/>
    <w:rsid w:val="68100488"/>
    <w:rsid w:val="68253995"/>
    <w:rsid w:val="68614AB6"/>
    <w:rsid w:val="68935C4F"/>
    <w:rsid w:val="68943D31"/>
    <w:rsid w:val="68A01340"/>
    <w:rsid w:val="68A215E8"/>
    <w:rsid w:val="68B26C69"/>
    <w:rsid w:val="68C57BD6"/>
    <w:rsid w:val="68C852CA"/>
    <w:rsid w:val="68CA47DB"/>
    <w:rsid w:val="68CD294C"/>
    <w:rsid w:val="68DC765B"/>
    <w:rsid w:val="68E110D1"/>
    <w:rsid w:val="68E824AB"/>
    <w:rsid w:val="68F425F9"/>
    <w:rsid w:val="69016003"/>
    <w:rsid w:val="69337EDB"/>
    <w:rsid w:val="693523E4"/>
    <w:rsid w:val="69612E4E"/>
    <w:rsid w:val="69624994"/>
    <w:rsid w:val="6967087A"/>
    <w:rsid w:val="69B73388"/>
    <w:rsid w:val="69C82561"/>
    <w:rsid w:val="69C86159"/>
    <w:rsid w:val="69D87602"/>
    <w:rsid w:val="6A1056B8"/>
    <w:rsid w:val="6A3C76FD"/>
    <w:rsid w:val="6A4E3803"/>
    <w:rsid w:val="6A5418FF"/>
    <w:rsid w:val="6A6F5A94"/>
    <w:rsid w:val="6A796DC7"/>
    <w:rsid w:val="6A9904C3"/>
    <w:rsid w:val="6AAB49D5"/>
    <w:rsid w:val="6AAC0F6D"/>
    <w:rsid w:val="6AC24E79"/>
    <w:rsid w:val="6AC91DFF"/>
    <w:rsid w:val="6ACD01F4"/>
    <w:rsid w:val="6ACE4386"/>
    <w:rsid w:val="6AD27E14"/>
    <w:rsid w:val="6AE80431"/>
    <w:rsid w:val="6AED51C3"/>
    <w:rsid w:val="6AF9727C"/>
    <w:rsid w:val="6B06392D"/>
    <w:rsid w:val="6B0F455E"/>
    <w:rsid w:val="6B1D0331"/>
    <w:rsid w:val="6B2156B6"/>
    <w:rsid w:val="6B323F31"/>
    <w:rsid w:val="6B4026ED"/>
    <w:rsid w:val="6B4918E8"/>
    <w:rsid w:val="6B564955"/>
    <w:rsid w:val="6B580CA2"/>
    <w:rsid w:val="6B601206"/>
    <w:rsid w:val="6B6B55CB"/>
    <w:rsid w:val="6B7516ED"/>
    <w:rsid w:val="6B8A1CC1"/>
    <w:rsid w:val="6B945480"/>
    <w:rsid w:val="6B9C4EE4"/>
    <w:rsid w:val="6BA15DC4"/>
    <w:rsid w:val="6BAB0E0A"/>
    <w:rsid w:val="6BC834B5"/>
    <w:rsid w:val="6BE0462E"/>
    <w:rsid w:val="6C0A09C7"/>
    <w:rsid w:val="6C0C44FA"/>
    <w:rsid w:val="6C0F0CEF"/>
    <w:rsid w:val="6C207768"/>
    <w:rsid w:val="6C2103DD"/>
    <w:rsid w:val="6C286A4A"/>
    <w:rsid w:val="6C2B11A4"/>
    <w:rsid w:val="6C3B2F5B"/>
    <w:rsid w:val="6C3F4BAB"/>
    <w:rsid w:val="6C822EE0"/>
    <w:rsid w:val="6C8F37A3"/>
    <w:rsid w:val="6C9952BD"/>
    <w:rsid w:val="6CA34327"/>
    <w:rsid w:val="6CB57C3D"/>
    <w:rsid w:val="6CD344A0"/>
    <w:rsid w:val="6CDB20B2"/>
    <w:rsid w:val="6CF2427C"/>
    <w:rsid w:val="6D1D0000"/>
    <w:rsid w:val="6D1E73C4"/>
    <w:rsid w:val="6D7F759D"/>
    <w:rsid w:val="6D8A6CD1"/>
    <w:rsid w:val="6D9429C6"/>
    <w:rsid w:val="6D943CBC"/>
    <w:rsid w:val="6DA57DB7"/>
    <w:rsid w:val="6DB20951"/>
    <w:rsid w:val="6DB57551"/>
    <w:rsid w:val="6DC7538F"/>
    <w:rsid w:val="6DCC73C0"/>
    <w:rsid w:val="6DCF1A00"/>
    <w:rsid w:val="6DDE4891"/>
    <w:rsid w:val="6E085024"/>
    <w:rsid w:val="6E1953C3"/>
    <w:rsid w:val="6E515E16"/>
    <w:rsid w:val="6E677A0A"/>
    <w:rsid w:val="6E913832"/>
    <w:rsid w:val="6EB917C9"/>
    <w:rsid w:val="6EEA7FBF"/>
    <w:rsid w:val="6EF70A1F"/>
    <w:rsid w:val="6EF833D2"/>
    <w:rsid w:val="6F1E241B"/>
    <w:rsid w:val="6F2C44A6"/>
    <w:rsid w:val="6F3176D3"/>
    <w:rsid w:val="6F3415BD"/>
    <w:rsid w:val="6F42693E"/>
    <w:rsid w:val="6F577B23"/>
    <w:rsid w:val="6F5A3DD7"/>
    <w:rsid w:val="6F6242AB"/>
    <w:rsid w:val="6F7102E5"/>
    <w:rsid w:val="6F7241CB"/>
    <w:rsid w:val="6F7E5A09"/>
    <w:rsid w:val="6FA50B6D"/>
    <w:rsid w:val="6FA75769"/>
    <w:rsid w:val="6FA86D68"/>
    <w:rsid w:val="6FAE67D1"/>
    <w:rsid w:val="6FD348DF"/>
    <w:rsid w:val="6FDD037C"/>
    <w:rsid w:val="6FE26378"/>
    <w:rsid w:val="6FE543C5"/>
    <w:rsid w:val="6FFF6A9C"/>
    <w:rsid w:val="70167E27"/>
    <w:rsid w:val="701C4F08"/>
    <w:rsid w:val="701F5328"/>
    <w:rsid w:val="70262525"/>
    <w:rsid w:val="70526B35"/>
    <w:rsid w:val="70C85A42"/>
    <w:rsid w:val="70CD0B9E"/>
    <w:rsid w:val="70E87E16"/>
    <w:rsid w:val="70FE04FE"/>
    <w:rsid w:val="710973F9"/>
    <w:rsid w:val="710F534D"/>
    <w:rsid w:val="710F5B47"/>
    <w:rsid w:val="7120385D"/>
    <w:rsid w:val="712A5E4B"/>
    <w:rsid w:val="712F2B8E"/>
    <w:rsid w:val="713773FD"/>
    <w:rsid w:val="713877F8"/>
    <w:rsid w:val="713E7EFC"/>
    <w:rsid w:val="714008D2"/>
    <w:rsid w:val="716628A3"/>
    <w:rsid w:val="716B14BE"/>
    <w:rsid w:val="71863596"/>
    <w:rsid w:val="718E3AA9"/>
    <w:rsid w:val="719C0FBC"/>
    <w:rsid w:val="71AE3E94"/>
    <w:rsid w:val="71C768E0"/>
    <w:rsid w:val="71E34C6D"/>
    <w:rsid w:val="71F674E9"/>
    <w:rsid w:val="71FA5B27"/>
    <w:rsid w:val="720D1C96"/>
    <w:rsid w:val="721D3E0E"/>
    <w:rsid w:val="72636EE1"/>
    <w:rsid w:val="72796FD4"/>
    <w:rsid w:val="727F1F7F"/>
    <w:rsid w:val="729D3E10"/>
    <w:rsid w:val="72A1690E"/>
    <w:rsid w:val="72AF2385"/>
    <w:rsid w:val="731E2E86"/>
    <w:rsid w:val="7325686C"/>
    <w:rsid w:val="7338255F"/>
    <w:rsid w:val="7347587A"/>
    <w:rsid w:val="73492329"/>
    <w:rsid w:val="735D0F9A"/>
    <w:rsid w:val="73605CD7"/>
    <w:rsid w:val="736C7289"/>
    <w:rsid w:val="73863475"/>
    <w:rsid w:val="738A230F"/>
    <w:rsid w:val="738C1991"/>
    <w:rsid w:val="73915DB4"/>
    <w:rsid w:val="73937FF7"/>
    <w:rsid w:val="73944519"/>
    <w:rsid w:val="7395405A"/>
    <w:rsid w:val="739F13AE"/>
    <w:rsid w:val="73A82B34"/>
    <w:rsid w:val="73A86EF5"/>
    <w:rsid w:val="73B349EB"/>
    <w:rsid w:val="73B93E44"/>
    <w:rsid w:val="73E0396E"/>
    <w:rsid w:val="73FE5344"/>
    <w:rsid w:val="74015710"/>
    <w:rsid w:val="740A5179"/>
    <w:rsid w:val="74186FFD"/>
    <w:rsid w:val="7424171E"/>
    <w:rsid w:val="7427530D"/>
    <w:rsid w:val="743B38FE"/>
    <w:rsid w:val="7454211F"/>
    <w:rsid w:val="746D7DC7"/>
    <w:rsid w:val="74880F05"/>
    <w:rsid w:val="7496475C"/>
    <w:rsid w:val="7498792E"/>
    <w:rsid w:val="74AB26D0"/>
    <w:rsid w:val="74B14FB6"/>
    <w:rsid w:val="74B16B2C"/>
    <w:rsid w:val="74BD119B"/>
    <w:rsid w:val="74D96A0B"/>
    <w:rsid w:val="74E36B6A"/>
    <w:rsid w:val="74FE635D"/>
    <w:rsid w:val="7515523E"/>
    <w:rsid w:val="752D6B40"/>
    <w:rsid w:val="754667E2"/>
    <w:rsid w:val="75491690"/>
    <w:rsid w:val="754B596E"/>
    <w:rsid w:val="754E4810"/>
    <w:rsid w:val="75666B42"/>
    <w:rsid w:val="75774254"/>
    <w:rsid w:val="75882B78"/>
    <w:rsid w:val="759A7979"/>
    <w:rsid w:val="75A036EA"/>
    <w:rsid w:val="75C469E5"/>
    <w:rsid w:val="75C54657"/>
    <w:rsid w:val="75E73569"/>
    <w:rsid w:val="75FE6F6B"/>
    <w:rsid w:val="76233BDF"/>
    <w:rsid w:val="7627202C"/>
    <w:rsid w:val="763F07CF"/>
    <w:rsid w:val="76484E5E"/>
    <w:rsid w:val="76631676"/>
    <w:rsid w:val="768274F5"/>
    <w:rsid w:val="76B12349"/>
    <w:rsid w:val="76F3044D"/>
    <w:rsid w:val="77670607"/>
    <w:rsid w:val="779340F2"/>
    <w:rsid w:val="77F25B3E"/>
    <w:rsid w:val="77F36D73"/>
    <w:rsid w:val="78046259"/>
    <w:rsid w:val="78107426"/>
    <w:rsid w:val="786F3DD9"/>
    <w:rsid w:val="787F5134"/>
    <w:rsid w:val="788A28C0"/>
    <w:rsid w:val="78993F9D"/>
    <w:rsid w:val="78B74A3C"/>
    <w:rsid w:val="78E50D3E"/>
    <w:rsid w:val="7901312E"/>
    <w:rsid w:val="790541A1"/>
    <w:rsid w:val="794B39E4"/>
    <w:rsid w:val="79566DD2"/>
    <w:rsid w:val="798A142E"/>
    <w:rsid w:val="79A06FE9"/>
    <w:rsid w:val="79B02980"/>
    <w:rsid w:val="79BE783E"/>
    <w:rsid w:val="79CF4A97"/>
    <w:rsid w:val="79D17EBB"/>
    <w:rsid w:val="79DF3DDC"/>
    <w:rsid w:val="79E45A80"/>
    <w:rsid w:val="79E6388A"/>
    <w:rsid w:val="79F21316"/>
    <w:rsid w:val="79F57491"/>
    <w:rsid w:val="7A0B7AAC"/>
    <w:rsid w:val="7A0F43EF"/>
    <w:rsid w:val="7A1E22F8"/>
    <w:rsid w:val="7A1F12D0"/>
    <w:rsid w:val="7A23681D"/>
    <w:rsid w:val="7A263364"/>
    <w:rsid w:val="7A413D5F"/>
    <w:rsid w:val="7A4661CF"/>
    <w:rsid w:val="7A5151B8"/>
    <w:rsid w:val="7A6B186D"/>
    <w:rsid w:val="7A797C4E"/>
    <w:rsid w:val="7A8A1528"/>
    <w:rsid w:val="7A9800E7"/>
    <w:rsid w:val="7AB1153A"/>
    <w:rsid w:val="7AB270E1"/>
    <w:rsid w:val="7AC7304F"/>
    <w:rsid w:val="7ACD7E57"/>
    <w:rsid w:val="7AD34389"/>
    <w:rsid w:val="7AEE595C"/>
    <w:rsid w:val="7B046A8B"/>
    <w:rsid w:val="7B0C2CE7"/>
    <w:rsid w:val="7B0E7634"/>
    <w:rsid w:val="7B503425"/>
    <w:rsid w:val="7B663696"/>
    <w:rsid w:val="7B663E88"/>
    <w:rsid w:val="7B6752DA"/>
    <w:rsid w:val="7B790A6C"/>
    <w:rsid w:val="7B842E3C"/>
    <w:rsid w:val="7B985D1C"/>
    <w:rsid w:val="7BB84BC4"/>
    <w:rsid w:val="7BE35204"/>
    <w:rsid w:val="7BF466CF"/>
    <w:rsid w:val="7BF744D0"/>
    <w:rsid w:val="7C1C1B0F"/>
    <w:rsid w:val="7C337443"/>
    <w:rsid w:val="7C364B4B"/>
    <w:rsid w:val="7C5E36DB"/>
    <w:rsid w:val="7C8710DA"/>
    <w:rsid w:val="7C8A6A2F"/>
    <w:rsid w:val="7C8C0A52"/>
    <w:rsid w:val="7CA71EDD"/>
    <w:rsid w:val="7CE262E6"/>
    <w:rsid w:val="7D16758C"/>
    <w:rsid w:val="7D182578"/>
    <w:rsid w:val="7D352831"/>
    <w:rsid w:val="7D516833"/>
    <w:rsid w:val="7D5A1BCD"/>
    <w:rsid w:val="7D74379A"/>
    <w:rsid w:val="7D796F05"/>
    <w:rsid w:val="7D830801"/>
    <w:rsid w:val="7D9E6A7A"/>
    <w:rsid w:val="7DAE36D3"/>
    <w:rsid w:val="7DD640C1"/>
    <w:rsid w:val="7DDB4D0A"/>
    <w:rsid w:val="7DDE2A10"/>
    <w:rsid w:val="7E0463BC"/>
    <w:rsid w:val="7E147F19"/>
    <w:rsid w:val="7E166284"/>
    <w:rsid w:val="7E223469"/>
    <w:rsid w:val="7E2D6C2E"/>
    <w:rsid w:val="7E3E7AD6"/>
    <w:rsid w:val="7E4301B0"/>
    <w:rsid w:val="7E470241"/>
    <w:rsid w:val="7E497D5E"/>
    <w:rsid w:val="7E4B3683"/>
    <w:rsid w:val="7E646078"/>
    <w:rsid w:val="7E6F6221"/>
    <w:rsid w:val="7E952F24"/>
    <w:rsid w:val="7EC47AB3"/>
    <w:rsid w:val="7F1A61A0"/>
    <w:rsid w:val="7F211812"/>
    <w:rsid w:val="7F464171"/>
    <w:rsid w:val="7F663CC4"/>
    <w:rsid w:val="7F7E0D5B"/>
    <w:rsid w:val="7F837BD5"/>
    <w:rsid w:val="7F97338F"/>
    <w:rsid w:val="7F9B2178"/>
    <w:rsid w:val="7FA727A9"/>
    <w:rsid w:val="7FB73927"/>
    <w:rsid w:val="7FB93823"/>
    <w:rsid w:val="7FC8497A"/>
    <w:rsid w:val="7FF6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c_"/>
    <w:basedOn w:val="1"/>
    <w:qFormat/>
    <w:uiPriority w:val="0"/>
    <w:pPr>
      <w:widowControl/>
      <w:ind w:firstLine="480" w:firstLineChars="200"/>
    </w:pPr>
    <w:rPr>
      <w:rFonts w:asci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2023-04-14T07:15:00Z</dcterms:created>
  <dc:creator>赖旭臻</dc:creator>
  <cp:lastModifiedBy>赖旭臻</cp:lastModifiedBy>
  <cp:lastPrinted>2023-04-17T01:19:00Z</cp:lastPrinted>
  <dcterms:modified xsi:type="dcterms:W3CDTF">2024-02-20T07:47:29Z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