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44"/>
          <w:szCs w:val="44"/>
        </w:rPr>
      </w:pPr>
      <w:r>
        <w:rPr>
          <w:rFonts w:ascii="Times New Roman" w:hAnsi="Times New Roman" w:eastAsia="黑体" w:cs="Times New Roman"/>
          <w:sz w:val="44"/>
          <w:szCs w:val="44"/>
        </w:rPr>
        <w:t>“外币现钞提取、调运和携带出境审核”行政审批服务指南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hint="eastAsia" w:ascii="Times New Roman" w:hAnsi="Times New Roman" w:eastAsia="黑体" w:cs="Times New Roman"/>
          <w:sz w:val="36"/>
          <w:szCs w:val="36"/>
          <w:lang w:eastAsia="zh-CN"/>
        </w:rPr>
      </w:pPr>
      <w:r>
        <w:rPr>
          <w:rFonts w:hint="eastAsia" w:ascii="Times New Roman" w:hAnsi="Times New Roman" w:eastAsia="黑体" w:cs="Times New Roman"/>
          <w:sz w:val="36"/>
          <w:szCs w:val="36"/>
          <w:lang w:eastAsia="zh-CN"/>
        </w:rPr>
        <w:t>调运外币现钞进出境业务市场准入审批</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titlePg/>
          <w:docGrid w:type="lines" w:linePitch="312" w:charSpace="0"/>
        </w:sectPr>
      </w:pPr>
    </w:p>
    <w:p>
      <w:pPr>
        <w:ind w:right="300"/>
        <w:jc w:val="left"/>
        <w:rPr>
          <w:rFonts w:ascii="Times New Roman" w:hAnsi="Times New Roman" w:eastAsia="黑体" w:cs="Times New Roman"/>
          <w:sz w:val="48"/>
          <w:szCs w:val="48"/>
        </w:rPr>
        <w:sectPr>
          <w:footerReference r:id="rId5" w:type="default"/>
          <w:type w:val="continuous"/>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项目名称：外币现钞提取、调运和携带出境审核；</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项目编号：57016；</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本指南适用于“外币现钞提取、调运和携带出境审核”的申请和办理。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（一）《中华人民共和国外汇管理条例》（国务院令第532号）第十五条：“携带、申报外币现钞出入境的限额，由国务院外汇管理部门规定”；</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（二）《国务院对确需保留的行政审批项目设定行政许可的决定》（国务院令第412号）附件第495项“机构单笔提取超过规定金额外币现钞审批”。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四、调运外币现钞进出境业务市场准入审批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585"/>
        <w:jc w:val="left"/>
        <w:rPr>
          <w:rFonts w:ascii="Times New Roman" w:hAnsi="Times New Roman" w:eastAsia="仿宋_GB2312" w:cs="Times New Roman"/>
          <w:kern w:val="0"/>
          <w:sz w:val="30"/>
          <w:szCs w:val="30"/>
        </w:rPr>
      </w:pPr>
      <w:r>
        <w:rPr>
          <w:rFonts w:ascii="Times New Roman" w:hAnsi="Times New Roman" w:eastAsia="仿宋_GB2312" w:cs="Times New Roman"/>
          <w:sz w:val="30"/>
          <w:szCs w:val="30"/>
        </w:rPr>
        <w:t>1.</w:t>
      </w:r>
      <w:r>
        <w:rPr>
          <w:rFonts w:ascii="Times New Roman" w:hAnsi="Times New Roman" w:eastAsia="仿宋_GB2312" w:cs="Times New Roman"/>
          <w:kern w:val="0"/>
          <w:sz w:val="30"/>
          <w:szCs w:val="30"/>
        </w:rPr>
        <w:t>《中华人民共和国外汇管理条例》</w:t>
      </w:r>
      <w:r>
        <w:rPr>
          <w:rFonts w:ascii="Times New Roman" w:hAnsi="Times New Roman" w:eastAsia="仿宋_GB2312" w:cs="Times New Roman"/>
          <w:sz w:val="30"/>
          <w:szCs w:val="30"/>
        </w:rPr>
        <w:t>（国务院令第532号）</w:t>
      </w:r>
      <w:r>
        <w:rPr>
          <w:rFonts w:ascii="Times New Roman" w:hAnsi="Times New Roman" w:eastAsia="仿宋_GB2312" w:cs="Times New Roman"/>
          <w:kern w:val="0"/>
          <w:sz w:val="30"/>
          <w:szCs w:val="30"/>
        </w:rPr>
        <w:t>；</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2.</w:t>
      </w:r>
      <w:r>
        <w:rPr>
          <w:rFonts w:ascii="Times New Roman" w:hAnsi="Times New Roman" w:eastAsia="仿宋_GB2312" w:cs="Times New Roman"/>
          <w:kern w:val="0"/>
          <w:sz w:val="30"/>
          <w:szCs w:val="30"/>
        </w:rPr>
        <w:t>《国家外汇管理局海关总署关于印发</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调运外币现钞进出境管理规定</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的通知》（汇发〔2019〕16号）。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kern w:val="0"/>
          <w:sz w:val="30"/>
          <w:szCs w:val="30"/>
        </w:rPr>
        <w:t>3.《国家外汇管理局关于修订</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个人本外币兑换特许业务试点管理办法</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的通知》（汇发〔2020〕6号）</w:t>
      </w:r>
      <w:r>
        <w:rPr>
          <w:rFonts w:hint="eastAsia" w:ascii="Times New Roman" w:hAnsi="Times New Roman" w:eastAsia="仿宋_GB2312" w:cs="Times New Roman"/>
          <w:kern w:val="0"/>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596" w:firstLineChars="200"/>
        <w:rPr>
          <w:rFonts w:ascii="Times New Roman" w:hAnsi="Times New Roman" w:eastAsia="仿宋_GB2312" w:cs="Times New Roman"/>
          <w:spacing w:val="-1"/>
          <w:sz w:val="30"/>
          <w:szCs w:val="30"/>
        </w:rPr>
      </w:pPr>
      <w:r>
        <w:rPr>
          <w:rFonts w:ascii="Times New Roman" w:hAnsi="Times New Roman" w:eastAsia="仿宋_GB2312" w:cs="Times New Roman"/>
          <w:spacing w:val="-1"/>
          <w:sz w:val="30"/>
          <w:szCs w:val="30"/>
        </w:rPr>
        <w:t>申请人</w:t>
      </w:r>
      <w:r>
        <w:rPr>
          <w:rFonts w:hint="eastAsia" w:ascii="Times New Roman" w:hAnsi="Times New Roman" w:eastAsia="仿宋_GB2312" w:cs="Times New Roman"/>
          <w:spacing w:val="-1"/>
          <w:sz w:val="30"/>
          <w:szCs w:val="30"/>
        </w:rPr>
        <w:t>所在</w:t>
      </w:r>
      <w:r>
        <w:rPr>
          <w:rFonts w:ascii="Times New Roman" w:hAnsi="Times New Roman" w:eastAsia="仿宋_GB2312" w:cs="Times New Roman"/>
          <w:spacing w:val="-1"/>
          <w:sz w:val="30"/>
          <w:szCs w:val="30"/>
        </w:rPr>
        <w:t>地国家外汇管理局</w:t>
      </w:r>
      <w:r>
        <w:rPr>
          <w:rFonts w:hint="eastAsia" w:ascii="Times New Roman" w:hAnsi="Times New Roman" w:eastAsia="仿宋_GB2312" w:cs="Times New Roman"/>
          <w:spacing w:val="-1"/>
          <w:sz w:val="30"/>
          <w:szCs w:val="30"/>
          <w:lang w:eastAsia="zh-CN"/>
        </w:rPr>
        <w:t>省</w:t>
      </w:r>
      <w:r>
        <w:rPr>
          <w:rFonts w:ascii="Times New Roman" w:hAnsi="Times New Roman" w:eastAsia="仿宋_GB2312" w:cs="Times New Roman"/>
          <w:spacing w:val="-1"/>
          <w:sz w:val="30"/>
          <w:szCs w:val="30"/>
        </w:rPr>
        <w:t>分局（外汇管理部）。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596" w:firstLineChars="200"/>
        <w:rPr>
          <w:rFonts w:ascii="Times New Roman" w:hAnsi="Times New Roman" w:eastAsia="仿宋_GB2312" w:cs="Times New Roman"/>
          <w:spacing w:val="-1"/>
          <w:sz w:val="30"/>
          <w:szCs w:val="30"/>
        </w:rPr>
      </w:pPr>
      <w:r>
        <w:rPr>
          <w:rFonts w:ascii="Times New Roman" w:hAnsi="Times New Roman" w:eastAsia="仿宋_GB2312" w:cs="Times New Roman"/>
          <w:spacing w:val="-1"/>
          <w:sz w:val="30"/>
          <w:szCs w:val="30"/>
        </w:rPr>
        <w:t>申请人</w:t>
      </w:r>
      <w:r>
        <w:rPr>
          <w:rFonts w:hint="eastAsia" w:ascii="Times New Roman" w:hAnsi="Times New Roman" w:eastAsia="仿宋_GB2312" w:cs="Times New Roman"/>
          <w:spacing w:val="-1"/>
          <w:sz w:val="30"/>
          <w:szCs w:val="30"/>
        </w:rPr>
        <w:t>所在</w:t>
      </w:r>
      <w:r>
        <w:rPr>
          <w:rFonts w:ascii="Times New Roman" w:hAnsi="Times New Roman" w:eastAsia="仿宋_GB2312" w:cs="Times New Roman"/>
          <w:spacing w:val="-1"/>
          <w:sz w:val="30"/>
          <w:szCs w:val="30"/>
        </w:rPr>
        <w:t>地国家外汇管理局</w:t>
      </w:r>
      <w:r>
        <w:rPr>
          <w:rFonts w:hint="eastAsia" w:ascii="Times New Roman" w:hAnsi="Times New Roman" w:eastAsia="仿宋_GB2312" w:cs="Times New Roman"/>
          <w:spacing w:val="-1"/>
          <w:sz w:val="30"/>
          <w:szCs w:val="30"/>
          <w:lang w:eastAsia="zh-CN"/>
        </w:rPr>
        <w:t>省</w:t>
      </w:r>
      <w:r>
        <w:rPr>
          <w:rFonts w:ascii="Times New Roman" w:hAnsi="Times New Roman" w:eastAsia="仿宋_GB2312" w:cs="Times New Roman"/>
          <w:spacing w:val="-1"/>
          <w:sz w:val="30"/>
          <w:szCs w:val="30"/>
        </w:rPr>
        <w:t>分局（外汇管理部）。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申请人为银行总行（或外国银行分行主报告行），需</w:t>
      </w:r>
      <w:r>
        <w:rPr>
          <w:rFonts w:ascii="Times New Roman" w:hAnsi="Times New Roman" w:eastAsia="仿宋_GB2312" w:cs="Times New Roman"/>
          <w:kern w:val="0"/>
          <w:sz w:val="30"/>
          <w:szCs w:val="30"/>
        </w:rPr>
        <w:t>有调运外币现钞进出境的实际需求。个人本外币兑换特许机构办理调运外币现钞业务参见“银行、农村信用社、兑换机构及非金融机构等结汇、售汇业务市场准入、退出审批”行政审批服务指南（编号57013）。</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8"/>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5"/>
        <w:gridCol w:w="3739"/>
        <w:gridCol w:w="1006"/>
        <w:gridCol w:w="719"/>
        <w:gridCol w:w="862"/>
        <w:gridCol w:w="719"/>
        <w:gridCol w:w="7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0" w:hRule="atLeast"/>
        </w:trPr>
        <w:tc>
          <w:tcPr>
            <w:tcW w:w="6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73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00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1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6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1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0" w:hRule="atLeast"/>
        </w:trPr>
        <w:tc>
          <w:tcPr>
            <w:tcW w:w="6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7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银行办理调运外币现钞进出境</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业务备案表</w:t>
            </w:r>
          </w:p>
        </w:tc>
        <w:tc>
          <w:tcPr>
            <w:tcW w:w="10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8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719" w:type="dxa"/>
            <w:vAlign w:val="center"/>
          </w:tcPr>
          <w:p>
            <w:pPr>
              <w:jc w:val="left"/>
              <w:rPr>
                <w:rFonts w:ascii="Times New Roman" w:hAnsi="Times New Roman" w:eastAsia="仿宋_GB2312" w:cs="Times New Roman"/>
                <w:sz w:val="24"/>
                <w:szCs w:val="24"/>
              </w:rPr>
            </w:pPr>
          </w:p>
        </w:tc>
        <w:tc>
          <w:tcPr>
            <w:tcW w:w="792" w:type="dxa"/>
            <w:vMerge w:val="restart"/>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0" w:hRule="atLeast"/>
        </w:trPr>
        <w:tc>
          <w:tcPr>
            <w:tcW w:w="6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7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可行性报告和业务计划书</w:t>
            </w:r>
          </w:p>
        </w:tc>
        <w:tc>
          <w:tcPr>
            <w:tcW w:w="10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719" w:type="dxa"/>
            <w:vAlign w:val="center"/>
          </w:tcPr>
          <w:p>
            <w:pPr>
              <w:jc w:val="center"/>
              <w:rPr>
                <w:rFonts w:ascii="Times New Roman" w:hAnsi="Times New Roman" w:eastAsia="仿宋_GB2312" w:cs="Times New Roman"/>
                <w:sz w:val="24"/>
                <w:szCs w:val="24"/>
              </w:rPr>
            </w:pPr>
          </w:p>
        </w:tc>
        <w:tc>
          <w:tcPr>
            <w:tcW w:w="792" w:type="dxa"/>
            <w:vMerge w:val="continue"/>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0" w:hRule="atLeast"/>
        </w:trPr>
        <w:tc>
          <w:tcPr>
            <w:tcW w:w="6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7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调运外币现钞进出境</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业务管理制度</w:t>
            </w:r>
          </w:p>
        </w:tc>
        <w:tc>
          <w:tcPr>
            <w:tcW w:w="10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719" w:type="dxa"/>
            <w:vAlign w:val="center"/>
          </w:tcPr>
          <w:p>
            <w:pPr>
              <w:jc w:val="center"/>
              <w:rPr>
                <w:rFonts w:ascii="Times New Roman" w:hAnsi="Times New Roman" w:eastAsia="仿宋_GB2312" w:cs="Times New Roman"/>
                <w:sz w:val="24"/>
                <w:szCs w:val="24"/>
              </w:rPr>
            </w:pPr>
          </w:p>
        </w:tc>
        <w:tc>
          <w:tcPr>
            <w:tcW w:w="792" w:type="dxa"/>
            <w:vMerge w:val="continue"/>
            <w:vAlign w:val="center"/>
          </w:tcPr>
          <w:p>
            <w:pPr>
              <w:jc w:val="center"/>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申请人可通过窗口、邮寄、国家外汇管理局政务服务网上办理系统等提交材料。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1.新办流程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（1）申请人持《银行办理调运外币现钞进出境业务备案表》（一式两份）及有关材料，向所在地国家外汇管理局</w:t>
      </w:r>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分局（外汇管理部）进行备案。</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（2）分局（外汇管理部）收到申请人内容齐全的备案材料后，在其提交的《银行办理调运外币现钞进出境业务备案表》上加盖签章予以确认，并将其中一份备案表退还申请人留存。</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（3）分局（外汇管理部）应自申请人备案之日起10个工作日内将备案银行情况书面通知当地直属海关，同时抄送国家外汇管理局及辖内</w:t>
      </w:r>
      <w:r>
        <w:rPr>
          <w:rFonts w:hint="eastAsia" w:ascii="Times New Roman" w:hAnsi="Times New Roman" w:eastAsia="仿宋_GB2312" w:cs="Times New Roman"/>
          <w:sz w:val="30"/>
          <w:szCs w:val="30"/>
          <w:lang w:eastAsia="zh-CN"/>
        </w:rPr>
        <w:t>地市分局</w:t>
      </w:r>
      <w:bookmarkStart w:id="0" w:name="_GoBack"/>
      <w:bookmarkEnd w:id="0"/>
      <w:r>
        <w:rPr>
          <w:rFonts w:ascii="Times New Roman" w:hAnsi="Times New Roman" w:eastAsia="仿宋_GB2312" w:cs="Times New Roman"/>
          <w:sz w:val="30"/>
          <w:szCs w:val="30"/>
        </w:rPr>
        <w:t>、支局；当地直属海关收到当地分局（外汇管理部）通知后，应在10个工作日内转报海关总署。</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2.停办流程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已获得调运外币现钞进出境业务资格的申请人停办调运外币现钞进出境业务，应当自停办业务之日前30个工作日由其总行向所在地分局（外汇管理部）提交《银行停办调运外币现钞进出境业务备案表》履行停办备案手续。分局（外汇管理部）按照新办流程中第三条程序分别通知有关部门。</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一般程序：申请、受理、初审、作出审批决定、出具审批文件。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加盖国家外汇管理局</w:t>
      </w:r>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分局（外汇管理部）签章的《银行调运外币现钞进出境业务备案表》</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（十五）事项审查类型</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（十六）办公地址和时间</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国家外汇管理局广东省分局办公</w:t>
      </w:r>
      <w:r>
        <w:rPr>
          <w:rFonts w:hint="eastAsia" w:ascii="Times New Roman" w:hAnsi="Times New Roman" w:eastAsia="仿宋_GB2312" w:cs="Times New Roman"/>
          <w:sz w:val="30"/>
          <w:szCs w:val="30"/>
          <w:lang w:eastAsia="zh-CN"/>
        </w:rPr>
        <w:t>地址</w:t>
      </w:r>
      <w:r>
        <w:rPr>
          <w:rFonts w:hint="eastAsia" w:ascii="Times New Roman" w:hAnsi="Times New Roman" w:eastAsia="仿宋_GB2312" w:cs="Times New Roman"/>
          <w:sz w:val="30"/>
          <w:szCs w:val="30"/>
        </w:rPr>
        <w:t>：广州市沿江西路137 号</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国家外汇管理局广东省分局</w:t>
      </w:r>
      <w:r>
        <w:rPr>
          <w:rFonts w:hint="eastAsia" w:ascii="Times New Roman" w:hAnsi="Times New Roman" w:eastAsia="仿宋_GB2312" w:cs="Times New Roman"/>
          <w:sz w:val="30"/>
          <w:szCs w:val="30"/>
          <w:lang w:eastAsia="zh-CN"/>
        </w:rPr>
        <w:t>办公</w:t>
      </w:r>
      <w:r>
        <w:rPr>
          <w:rFonts w:hint="eastAsia" w:ascii="Times New Roman" w:hAnsi="Times New Roman" w:eastAsia="仿宋_GB2312" w:cs="Times New Roman"/>
          <w:sz w:val="30"/>
          <w:szCs w:val="30"/>
        </w:rPr>
        <w:t>时间：</w:t>
      </w:r>
      <w:r>
        <w:rPr>
          <w:rFonts w:hint="eastAsia" w:ascii="Times New Roman" w:hAnsi="Times New Roman" w:eastAsia="仿宋_GB2312" w:cs="Times New Roman"/>
          <w:sz w:val="30"/>
          <w:szCs w:val="30"/>
          <w:lang w:eastAsia="zh-CN"/>
        </w:rPr>
        <w:t>工作日</w:t>
      </w:r>
      <w:r>
        <w:rPr>
          <w:rFonts w:hint="eastAsia" w:ascii="Times New Roman" w:hAnsi="Times New Roman" w:eastAsia="仿宋_GB2312" w:cs="Times New Roman"/>
          <w:sz w:val="30"/>
          <w:szCs w:val="30"/>
        </w:rPr>
        <w:t>上午8:30-</w:t>
      </w:r>
      <w:r>
        <w:rPr>
          <w:rFonts w:hint="eastAsia" w:ascii="Times New Roman" w:hAnsi="Times New Roman" w:eastAsia="仿宋_GB2312" w:cs="Times New Roman"/>
          <w:sz w:val="30"/>
          <w:szCs w:val="30"/>
          <w:lang w:val="en-US" w:eastAsia="zh-CN"/>
        </w:rPr>
        <w:t>12</w:t>
      </w:r>
      <w:r>
        <w:rPr>
          <w:rFonts w:hint="eastAsia"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0</w:t>
      </w:r>
      <w:r>
        <w:rPr>
          <w:rFonts w:hint="eastAsia" w:ascii="Times New Roman" w:hAnsi="Times New Roman" w:eastAsia="仿宋_GB2312" w:cs="Times New Roman"/>
          <w:sz w:val="30"/>
          <w:szCs w:val="30"/>
        </w:rPr>
        <w:t>0、下午14:00-17:</w:t>
      </w:r>
      <w:r>
        <w:rPr>
          <w:rFonts w:hint="eastAsia" w:ascii="Times New Roman" w:hAnsi="Times New Roman" w:eastAsia="仿宋_GB2312" w:cs="Times New Roman"/>
          <w:sz w:val="30"/>
          <w:szCs w:val="30"/>
          <w:lang w:val="en-US" w:eastAsia="zh-CN"/>
        </w:rPr>
        <w:t>30</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（十七）禁止性要求</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详见（五）办事条件。</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（十八）咨询途径</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rPr>
        <w:t>国家外汇管理局广东省分局咨询电话：</w:t>
      </w:r>
      <w:r>
        <w:rPr>
          <w:rFonts w:hint="eastAsia" w:ascii="Times New Roman" w:hAnsi="Times New Roman" w:eastAsia="仿宋_GB2312" w:cs="Times New Roman"/>
          <w:sz w:val="30"/>
          <w:szCs w:val="30"/>
          <w:lang w:val="en-US" w:eastAsia="zh-CN"/>
        </w:rPr>
        <w:t>020-81322739</w:t>
      </w:r>
    </w:p>
    <w:p>
      <w:pPr>
        <w:adjustRightInd w:val="0"/>
        <w:snapToGrid w:val="0"/>
        <w:spacing w:line="360" w:lineRule="auto"/>
        <w:ind w:firstLine="601"/>
        <w:jc w:val="left"/>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pacing w:val="-6"/>
          <w:sz w:val="30"/>
          <w:szCs w:val="30"/>
        </w:rPr>
        <w:t>国家外汇管理局广东省分局</w:t>
      </w:r>
      <w:r>
        <w:rPr>
          <w:rFonts w:hint="eastAsia" w:ascii="Times New Roman" w:hAnsi="Times New Roman" w:eastAsia="仿宋_GB2312" w:cs="Times New Roman"/>
          <w:spacing w:val="-6"/>
          <w:sz w:val="30"/>
          <w:szCs w:val="30"/>
          <w:lang w:eastAsia="zh-CN"/>
        </w:rPr>
        <w:t>网址：</w:t>
      </w:r>
      <w:r>
        <w:rPr>
          <w:rFonts w:hint="eastAsia" w:ascii="Times New Roman" w:hAnsi="Times New Roman" w:eastAsia="仿宋_GB2312" w:cs="Times New Roman"/>
          <w:sz w:val="30"/>
          <w:szCs w:val="30"/>
        </w:rPr>
        <w:fldChar w:fldCharType="begin"/>
      </w:r>
      <w:r>
        <w:rPr>
          <w:rFonts w:hint="eastAsia" w:ascii="Times New Roman" w:hAnsi="Times New Roman" w:eastAsia="仿宋_GB2312" w:cs="Times New Roman"/>
          <w:sz w:val="30"/>
          <w:szCs w:val="30"/>
        </w:rPr>
        <w:instrText xml:space="preserve"> HYPERLINK "http://www.safe.gov.cn/guangdong/ywzn" </w:instrText>
      </w:r>
      <w:r>
        <w:rPr>
          <w:rFonts w:hint="eastAsia" w:ascii="Times New Roman" w:hAnsi="Times New Roman" w:eastAsia="仿宋_GB2312" w:cs="Times New Roman"/>
          <w:sz w:val="30"/>
          <w:szCs w:val="30"/>
        </w:rPr>
        <w:fldChar w:fldCharType="separate"/>
      </w:r>
      <w:r>
        <w:rPr>
          <w:rStyle w:val="14"/>
          <w:rFonts w:hint="eastAsia" w:ascii="Times New Roman" w:hAnsi="Times New Roman" w:eastAsia="仿宋_GB2312" w:cs="Times New Roman"/>
          <w:color w:val="auto"/>
          <w:sz w:val="30"/>
          <w:szCs w:val="30"/>
        </w:rPr>
        <w:t>www.safe.gov.cn</w:t>
      </w:r>
      <w:r>
        <w:rPr>
          <w:rStyle w:val="14"/>
          <w:rFonts w:hint="eastAsia" w:ascii="Times New Roman" w:hAnsi="Times New Roman" w:eastAsia="仿宋_GB2312" w:cs="Times New Roman"/>
          <w:color w:val="auto"/>
          <w:sz w:val="30"/>
          <w:szCs w:val="30"/>
          <w:lang w:val="en-US" w:eastAsia="zh-CN"/>
        </w:rPr>
        <w:t>/guangdong</w:t>
      </w:r>
      <w:r>
        <w:rPr>
          <w:rFonts w:hint="eastAsia" w:ascii="Times New Roman" w:hAnsi="Times New Roman" w:eastAsia="仿宋_GB2312" w:cs="Times New Roman"/>
          <w:sz w:val="30"/>
          <w:szCs w:val="30"/>
        </w:rPr>
        <w:fldChar w:fldCharType="end"/>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（十九）办理进程和结果公开查询</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向</w:t>
      </w:r>
      <w:r>
        <w:rPr>
          <w:rFonts w:hint="eastAsia" w:ascii="Times New Roman" w:hAnsi="Times New Roman" w:eastAsia="仿宋_GB2312" w:cs="Times New Roman"/>
          <w:sz w:val="30"/>
          <w:szCs w:val="30"/>
          <w:lang w:eastAsia="zh-CN"/>
        </w:rPr>
        <w:t>国家外汇管理局广东省分局</w:t>
      </w:r>
      <w:r>
        <w:rPr>
          <w:rFonts w:ascii="Times New Roman" w:hAnsi="Times New Roman" w:eastAsia="仿宋_GB2312" w:cs="Times New Roman"/>
          <w:sz w:val="30"/>
          <w:szCs w:val="30"/>
        </w:rPr>
        <w:t>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等可通过</w:t>
      </w:r>
      <w:r>
        <w:rPr>
          <w:rFonts w:hint="eastAsia" w:ascii="Times New Roman" w:hAnsi="Times New Roman" w:eastAsia="仿宋_GB2312" w:cs="Times New Roman"/>
          <w:sz w:val="30"/>
          <w:szCs w:val="30"/>
        </w:rPr>
        <w:t>电话、</w:t>
      </w: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广东省分局</w:t>
      </w:r>
      <w:r>
        <w:rPr>
          <w:rFonts w:ascii="Times New Roman" w:hAnsi="Times New Roman" w:eastAsia="仿宋_GB2312" w:cs="Times New Roman"/>
          <w:sz w:val="30"/>
          <w:szCs w:val="30"/>
        </w:rPr>
        <w:t>官方互联网站公众交流栏目进行。</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eastAsia="zh-CN"/>
        </w:rPr>
        <w:t>电话：</w:t>
      </w:r>
      <w:r>
        <w:rPr>
          <w:rFonts w:hint="eastAsia" w:ascii="Times New Roman" w:hAnsi="Times New Roman" w:eastAsia="仿宋_GB2312" w:cs="Times New Roman"/>
          <w:sz w:val="30"/>
          <w:szCs w:val="30"/>
          <w:lang w:val="en-US" w:eastAsia="zh-CN"/>
        </w:rPr>
        <w:t>020-81322739</w:t>
      </w:r>
    </w:p>
    <w:p>
      <w:pPr>
        <w:adjustRightInd w:val="0"/>
        <w:snapToGrid w:val="0"/>
        <w:spacing w:line="360" w:lineRule="auto"/>
        <w:ind w:firstLine="600"/>
        <w:rPr>
          <w:rFonts w:hint="eastAsia" w:ascii="Times New Roman" w:hAnsi="Times New Roman" w:eastAsia="仿宋_GB2312" w:cs="Times New Roman"/>
          <w:sz w:val="28"/>
          <w:szCs w:val="28"/>
        </w:rPr>
      </w:pPr>
      <w:r>
        <w:rPr>
          <w:rFonts w:hint="eastAsia" w:ascii="Times New Roman" w:hAnsi="Times New Roman" w:eastAsia="仿宋_GB2312" w:cs="Times New Roman"/>
          <w:sz w:val="30"/>
          <w:szCs w:val="30"/>
          <w:lang w:val="en-US" w:eastAsia="zh-CN"/>
        </w:rPr>
        <w:t>网址：</w:t>
      </w:r>
      <w:r>
        <w:rPr>
          <w:rFonts w:hint="eastAsia" w:ascii="Times New Roman" w:hAnsi="Times New Roman" w:eastAsia="仿宋_GB2312" w:cs="Times New Roman"/>
          <w:sz w:val="30"/>
          <w:szCs w:val="30"/>
        </w:rPr>
        <w:fldChar w:fldCharType="begin"/>
      </w:r>
      <w:r>
        <w:rPr>
          <w:rFonts w:hint="eastAsia" w:ascii="Times New Roman" w:hAnsi="Times New Roman" w:eastAsia="仿宋_GB2312" w:cs="Times New Roman"/>
          <w:sz w:val="30"/>
          <w:szCs w:val="30"/>
        </w:rPr>
        <w:instrText xml:space="preserve"> HYPERLINK "http://www.safe.gov.cn/guangdong/ywzn" </w:instrText>
      </w:r>
      <w:r>
        <w:rPr>
          <w:rFonts w:hint="eastAsia" w:ascii="Times New Roman" w:hAnsi="Times New Roman" w:eastAsia="仿宋_GB2312" w:cs="Times New Roman"/>
          <w:sz w:val="30"/>
          <w:szCs w:val="30"/>
        </w:rPr>
        <w:fldChar w:fldCharType="separate"/>
      </w:r>
      <w:r>
        <w:rPr>
          <w:rStyle w:val="14"/>
          <w:rFonts w:hint="eastAsia" w:ascii="Times New Roman" w:hAnsi="Times New Roman" w:eastAsia="仿宋_GB2312" w:cs="Times New Roman"/>
          <w:color w:val="auto"/>
          <w:sz w:val="30"/>
          <w:szCs w:val="30"/>
        </w:rPr>
        <w:t>www.safe.gov.cn</w:t>
      </w:r>
      <w:r>
        <w:rPr>
          <w:rStyle w:val="14"/>
          <w:rFonts w:hint="eastAsia" w:ascii="Times New Roman" w:hAnsi="Times New Roman" w:eastAsia="仿宋_GB2312" w:cs="Times New Roman"/>
          <w:color w:val="auto"/>
          <w:sz w:val="30"/>
          <w:szCs w:val="30"/>
          <w:lang w:val="en-US" w:eastAsia="zh-CN"/>
        </w:rPr>
        <w:t>/guangdong</w:t>
      </w:r>
      <w:r>
        <w:rPr>
          <w:rFonts w:hint="eastAsia" w:ascii="Times New Roman" w:hAnsi="Times New Roman" w:eastAsia="仿宋_GB2312" w:cs="Times New Roman"/>
          <w:sz w:val="30"/>
          <w:szCs w:val="30"/>
        </w:rPr>
        <w:fldChar w:fldCharType="end"/>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通过国家外汇管理局政务服务网上办理系统提交申请的，可在该系统内进行查询。</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（二十）监督投诉渠道</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向</w:t>
      </w:r>
      <w:r>
        <w:rPr>
          <w:rFonts w:hint="eastAsia" w:ascii="Times New Roman" w:hAnsi="Times New Roman" w:eastAsia="仿宋_GB2312" w:cs="Times New Roman"/>
          <w:sz w:val="30"/>
          <w:szCs w:val="30"/>
          <w:lang w:eastAsia="zh-CN"/>
        </w:rPr>
        <w:t>国家外汇管理局广东省分局</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w:t>
      </w: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广东省分局</w:t>
      </w:r>
      <w:r>
        <w:rPr>
          <w:rFonts w:ascii="Times New Roman" w:hAnsi="Times New Roman" w:eastAsia="仿宋_GB2312" w:cs="Times New Roman"/>
          <w:sz w:val="30"/>
          <w:szCs w:val="30"/>
        </w:rPr>
        <w:t>官方互联网站公众交流栏目进行。</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eastAsia="zh-CN"/>
        </w:rPr>
        <w:t>电话：</w:t>
      </w:r>
      <w:r>
        <w:rPr>
          <w:rFonts w:hint="eastAsia" w:ascii="Times New Roman" w:hAnsi="Times New Roman" w:eastAsia="仿宋_GB2312" w:cs="Times New Roman"/>
          <w:sz w:val="30"/>
          <w:szCs w:val="30"/>
          <w:lang w:val="en-US" w:eastAsia="zh-CN"/>
        </w:rPr>
        <w:t>020-</w:t>
      </w:r>
      <w:r>
        <w:rPr>
          <w:rFonts w:hint="eastAsia" w:ascii="Times New Roman" w:hAnsi="Times New Roman" w:eastAsia="仿宋_GB2312" w:cs="Times New Roman"/>
          <w:sz w:val="30"/>
          <w:szCs w:val="30"/>
          <w:highlight w:val="none"/>
          <w:lang w:val="en-US" w:eastAsia="zh-CN"/>
        </w:rPr>
        <w:t>81322244</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网址：</w:t>
      </w:r>
      <w:r>
        <w:rPr>
          <w:rFonts w:hint="eastAsia" w:ascii="Times New Roman" w:hAnsi="Times New Roman" w:eastAsia="仿宋_GB2312" w:cs="Times New Roman"/>
          <w:sz w:val="30"/>
          <w:szCs w:val="30"/>
        </w:rPr>
        <w:fldChar w:fldCharType="begin"/>
      </w:r>
      <w:r>
        <w:rPr>
          <w:rFonts w:hint="eastAsia" w:ascii="Times New Roman" w:hAnsi="Times New Roman" w:eastAsia="仿宋_GB2312" w:cs="Times New Roman"/>
          <w:sz w:val="30"/>
          <w:szCs w:val="30"/>
        </w:rPr>
        <w:instrText xml:space="preserve"> HYPERLINK "http://www.safe.gov.cn/guangdong/ywzn" </w:instrText>
      </w:r>
      <w:r>
        <w:rPr>
          <w:rFonts w:hint="eastAsia" w:ascii="Times New Roman" w:hAnsi="Times New Roman" w:eastAsia="仿宋_GB2312" w:cs="Times New Roman"/>
          <w:sz w:val="30"/>
          <w:szCs w:val="30"/>
        </w:rPr>
        <w:fldChar w:fldCharType="separate"/>
      </w:r>
      <w:r>
        <w:rPr>
          <w:rStyle w:val="14"/>
          <w:rFonts w:hint="eastAsia" w:ascii="Times New Roman" w:hAnsi="Times New Roman" w:eastAsia="仿宋_GB2312" w:cs="Times New Roman"/>
          <w:color w:val="auto"/>
          <w:sz w:val="30"/>
          <w:szCs w:val="30"/>
        </w:rPr>
        <w:t>www.safe.gov.cn</w:t>
      </w:r>
      <w:r>
        <w:rPr>
          <w:rStyle w:val="14"/>
          <w:rFonts w:hint="eastAsia" w:ascii="Times New Roman" w:hAnsi="Times New Roman" w:eastAsia="仿宋_GB2312" w:cs="Times New Roman"/>
          <w:color w:val="auto"/>
          <w:sz w:val="30"/>
          <w:szCs w:val="30"/>
          <w:lang w:val="en-US" w:eastAsia="zh-CN"/>
        </w:rPr>
        <w:t>/guangdong</w:t>
      </w:r>
      <w:r>
        <w:rPr>
          <w:rFonts w:hint="eastAsia" w:ascii="Times New Roman" w:hAnsi="Times New Roman" w:eastAsia="仿宋_GB2312" w:cs="Times New Roman"/>
          <w:sz w:val="30"/>
          <w:szCs w:val="30"/>
        </w:rPr>
        <w:fldChar w:fldCharType="end"/>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（二十一）申请材料示范文本</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见附表1、附表2。</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（二十二）常见问题解答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w:t>
      </w: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个工作日以内。</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（二十三）常见错误示例</w:t>
      </w:r>
    </w:p>
    <w:p>
      <w:pPr>
        <w:adjustRightInd w:val="0"/>
        <w:snapToGrid w:val="0"/>
        <w:spacing w:line="360" w:lineRule="auto"/>
        <w:ind w:firstLine="600"/>
        <w:rPr>
          <w:rFonts w:ascii="Times New Roman" w:hAnsi="Times New Roman" w:eastAsia="仿宋_GB2312" w:cs="Times New Roman"/>
          <w:sz w:val="30"/>
          <w:szCs w:val="30"/>
        </w:rPr>
        <w:sectPr>
          <w:pgSz w:w="11906" w:h="16838"/>
          <w:pgMar w:top="1440" w:right="1800" w:bottom="1440" w:left="1800" w:header="851" w:footer="992" w:gutter="0"/>
          <w:pgNumType w:start="1"/>
          <w:cols w:space="720" w:num="1"/>
          <w:docGrid w:type="lines" w:linePitch="312" w:charSpace="0"/>
        </w:sectPr>
      </w:pPr>
      <w:r>
        <w:rPr>
          <w:rFonts w:ascii="Times New Roman" w:hAnsi="Times New Roman" w:eastAsia="仿宋_GB2312" w:cs="Times New Roman"/>
          <w:sz w:val="30"/>
          <w:szCs w:val="30"/>
        </w:rPr>
        <w:t>申请材料要件不全。</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cs="Times New Roman"/>
        </w:rPr>
      </w:pPr>
      <w:r>
        <w:rPr>
          <w:rFonts w:ascii="Times New Roman" w:hAnsi="Times New Roman" w:eastAsia="宋体" w:cs="Times New Roman"/>
          <w:kern w:val="2"/>
          <w:sz w:val="21"/>
          <w:szCs w:val="22"/>
          <w:lang w:val="en-US" w:eastAsia="zh-CN" w:bidi="ar-SA"/>
        </w:rPr>
        <w:pict>
          <v:group id="Group 67" o:spid="_x0000_s1026" style="position:absolute;left:0;margin-left:-41.35pt;margin-top:16.05pt;height:439.05pt;width:474.15pt;rotation:0f;z-index:251658240;" coordorigin="718,3009" coordsize="9483,8781">
            <o:lock v:ext="edit" position="f" selection="f" grouping="f" rotation="f" cropping="f" text="f" aspectratio="f"/>
            <v:roundrect id="圆角矩形 20" o:spid="_x0000_s1027" style="position:absolute;left:1298;top:3009;height:1684;width:2979;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oundrect>
            <v:roundrect id="圆角矩形 17" o:spid="_x0000_s1028" style="position:absolute;left:7272;top:4592;height:674;width:2929;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ind w:firstLine="420" w:firstLineChars="200"/>
                    </w:pPr>
                    <w:r>
                      <w:rPr>
                        <w:rFonts w:hint="eastAsia"/>
                      </w:rPr>
                      <w:t>申请人补全材料</w:t>
                    </w:r>
                  </w:p>
                </w:txbxContent>
              </v:textbox>
            </v:roundrect>
            <v:roundrect id="圆角矩形 10" o:spid="_x0000_s1029" style="position:absolute;left:4730;top:5541;height:500;width:5362;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oundrect>
            <v:roundrect id="圆角矩形 8" o:spid="_x0000_s1030" style="position:absolute;left:4699;top:6297;height:906;width:5362;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oundrect>
            <v:roundrect id="圆角矩形 14" o:spid="_x0000_s1031" style="position:absolute;left:3434;top:7971;height:603;width:4218;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ind w:firstLine="525" w:firstLineChars="250"/>
                    </w:pPr>
                    <w:r>
                      <w:rPr>
                        <w:rFonts w:hint="eastAsia"/>
                      </w:rPr>
                      <w:t>依法应予受理，出具受理单</w:t>
                    </w:r>
                  </w:p>
                </w:txbxContent>
              </v:textbox>
            </v:roundrect>
            <v:roundrect id="圆角矩形 1" o:spid="_x0000_s1032" style="position:absolute;left:3434;top:9011;height:702;width:4219;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roundrect>
            <v:roundrect id="圆角矩形 5" o:spid="_x0000_s1033" style="position:absolute;left:6174;top:10618;height:1172;width:3617;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txbxContent>
              </v:textbox>
            </v:roundrect>
            <v:roundrect id="圆角矩形 4" o:spid="_x0000_s1034" style="position:absolute;left:1848;top:10618;height:1172;width:3952;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予以许可，向申请人出具加盖签章的备案表</w:t>
                    </w:r>
                  </w:p>
                </w:txbxContent>
              </v:textbox>
            </v:roundrect>
            <v:shape id="直接箭头连接符 18" o:spid="_x0000_s1035" type="#_x0000_t32" style="position:absolute;left:2353;top:4934;height:0;width:499;rotation:589824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11" o:spid="_x0000_s1036" type="#_x0000_t34" style="position:absolute;left:3525;top:5655;height:1;width:1172;rotation:0f;" o:ole="f" fillcolor="#FFFFFF" filled="t" o:preferrelative="t" stroked="t" coordorigin="0,0" coordsize="21600,21600" adj="10800">
              <v:stroke color="#000000" color2="#FFFFFF" miterlimit="2" endarrow="block"/>
              <v:imagedata gain="65536f" blacklevel="0f" gamma="0"/>
              <o:lock v:ext="edit" position="f" selection="f" grouping="f" rotation="f" cropping="f" text="f" aspectratio="f"/>
            </v:shape>
            <v:shape id="直接箭头连接符 7" o:spid="_x0000_s1037" type="#_x0000_t34" style="position:absolute;left:3525;top:6735;height:1;width:1172;rotation:0f;" o:ole="f" fillcolor="#FFFFFF" filled="t" o:preferrelative="t" stroked="t" coordorigin="0,0" coordsize="21600,21600" adj="10800">
              <v:stroke color="#000000" color2="#FFFFFF" miterlimit="2" endarrow="block"/>
              <v:imagedata gain="65536f" blacklevel="0f" gamma="0"/>
              <o:lock v:ext="edit" position="f" selection="f" grouping="f" rotation="f" cropping="f" text="f" aspectratio="f"/>
            </v:shape>
            <v:shape id="直接箭头连接符 19" o:spid="_x0000_s1038" type="#_x0000_t32" style="position:absolute;left:2629;top:4981;flip:x;height:1;width:464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13" o:spid="_x0000_s1039" type="#_x0000_t32" style="position:absolute;left:5490;top:8574;height:437;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3" o:spid="_x0000_s1040" type="#_x0000_t32" style="position:absolute;left:6771;top:9713;height:90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2" o:spid="_x0000_s1041" type="#_x0000_t32" style="position:absolute;left:4289;top:9713;height:90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15" o:spid="_x0000_s1042" type="#_x0000_t32" style="position:absolute;left:2612;top:6826;height:139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直接箭头连接符 16" o:spid="_x0000_s1043" type="#_x0000_t32" style="position:absolute;left:2612;top:8217;height:0;width:822;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流程图: 决策 6" o:spid="_x0000_s1044" type="#_x0000_t110" style="position:absolute;left:718;top:5192;height:2011;width:3796;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p/>
                </w:txbxContent>
              </v:textbox>
            </v:shape>
            <v:shape id="Straight Connector 86" o:spid="_x0000_s1045" type="#_x0000_t32" style="position:absolute;left:8910;top:5266;flip:y;height:27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w:pict>
      </w:r>
    </w:p>
    <w:p>
      <w:pPr>
        <w:widowControl/>
        <w:jc w:val="left"/>
        <w:rPr>
          <w:rFonts w:ascii="Times New Roman" w:hAnsi="Times New Roman" w:eastAsia="仿宋_GB2312" w:cs="Times New Roman"/>
          <w:sz w:val="34"/>
          <w:szCs w:val="34"/>
        </w:rPr>
      </w:pPr>
    </w:p>
    <w:p>
      <w:pPr>
        <w:widowControl/>
        <w:jc w:val="left"/>
        <w:rPr>
          <w:rFonts w:ascii="Times New Roman" w:hAnsi="Times New Roman" w:eastAsia="仿宋_GB2312" w:cs="Times New Roman"/>
          <w:sz w:val="34"/>
          <w:szCs w:val="34"/>
        </w:rPr>
      </w:pPr>
      <w:r>
        <w:rPr>
          <w:rFonts w:ascii="Times New Roman" w:hAnsi="Times New Roman" w:eastAsia="仿宋_GB2312" w:cs="Times New Roman"/>
          <w:sz w:val="34"/>
          <w:szCs w:val="34"/>
        </w:rPr>
        <w:br w:type="page"/>
      </w:r>
    </w:p>
    <w:p>
      <w:pPr>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附表1</w:t>
      </w:r>
    </w:p>
    <w:p>
      <w:pPr>
        <w:spacing w:line="360" w:lineRule="auto"/>
        <w:rPr>
          <w:rFonts w:ascii="Times New Roman" w:hAnsi="Times New Roman" w:eastAsia="仿宋_GB2312" w:cs="Times New Roman"/>
          <w:sz w:val="34"/>
          <w:szCs w:val="34"/>
        </w:rPr>
      </w:pPr>
    </w:p>
    <w:p>
      <w:pPr>
        <w:spacing w:afterLines="100"/>
        <w:jc w:val="center"/>
        <w:rPr>
          <w:rFonts w:ascii="Times New Roman" w:hAnsi="Times New Roman" w:eastAsia="仿宋_GB2312" w:cs="Times New Roman"/>
          <w:b/>
          <w:spacing w:val="-20"/>
          <w:sz w:val="40"/>
          <w:szCs w:val="44"/>
        </w:rPr>
      </w:pPr>
      <w:r>
        <w:rPr>
          <w:rFonts w:ascii="Times New Roman" w:hAnsi="Times New Roman" w:eastAsia="仿宋_GB2312" w:cs="Times New Roman"/>
          <w:b/>
          <w:spacing w:val="-20"/>
          <w:sz w:val="40"/>
          <w:szCs w:val="44"/>
        </w:rPr>
        <w:t>银行办理调运外币现钞进出境业务备案表（示范文本）</w:t>
      </w:r>
    </w:p>
    <w:tbl>
      <w:tblPr>
        <w:tblStyle w:val="18"/>
        <w:tblW w:w="83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1"/>
        <w:gridCol w:w="1552"/>
        <w:gridCol w:w="1231"/>
        <w:gridCol w:w="1392"/>
        <w:gridCol w:w="1393"/>
        <w:gridCol w:w="13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9" w:hRule="atLeast"/>
        </w:trPr>
        <w:tc>
          <w:tcPr>
            <w:tcW w:w="1391"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备案银行</w:t>
            </w:r>
          </w:p>
        </w:tc>
        <w:tc>
          <w:tcPr>
            <w:tcW w:w="6961" w:type="dxa"/>
            <w:gridSpan w:val="5"/>
            <w:vAlign w:val="top"/>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XX银行股份有限公司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8" w:hRule="atLeast"/>
        </w:trPr>
        <w:tc>
          <w:tcPr>
            <w:tcW w:w="139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统一社会</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信用代码</w:t>
            </w:r>
          </w:p>
        </w:tc>
        <w:tc>
          <w:tcPr>
            <w:tcW w:w="6961" w:type="dxa"/>
            <w:gridSpan w:val="5"/>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备案材料</w:t>
            </w:r>
          </w:p>
        </w:tc>
        <w:tc>
          <w:tcPr>
            <w:tcW w:w="6961" w:type="dxa"/>
            <w:gridSpan w:val="5"/>
            <w:vAlign w:val="top"/>
          </w:tcPr>
          <w:p>
            <w:pPr>
              <w:spacing w:beforeLines="30"/>
              <w:rPr>
                <w:rFonts w:ascii="Times New Roman" w:hAnsi="Times New Roman" w:eastAsia="仿宋_GB2312" w:cs="Times New Roman"/>
                <w:sz w:val="24"/>
                <w:szCs w:val="24"/>
              </w:rPr>
            </w:pPr>
            <w:r>
              <w:rPr>
                <w:rFonts w:ascii="Times New Roman" w:hAnsi="Times New Roman" w:eastAsia="仿宋_GB2312" w:cs="Times New Roman"/>
                <w:sz w:val="24"/>
                <w:szCs w:val="24"/>
              </w:rPr>
              <w:t>√可行性报告和业务计划书</w:t>
            </w:r>
          </w:p>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√调运外币现钞进出境业务管理制度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联系人员</w:t>
            </w: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职责</w:t>
            </w:r>
          </w:p>
        </w:tc>
        <w:tc>
          <w:tcPr>
            <w:tcW w:w="123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姓名</w:t>
            </w:r>
          </w:p>
        </w:tc>
        <w:tc>
          <w:tcPr>
            <w:tcW w:w="13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部门</w:t>
            </w:r>
          </w:p>
        </w:tc>
        <w:tc>
          <w:tcPr>
            <w:tcW w:w="13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职务</w:t>
            </w:r>
          </w:p>
        </w:tc>
        <w:tc>
          <w:tcPr>
            <w:tcW w:w="13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Merge w:val="continue"/>
            <w:vAlign w:val="center"/>
          </w:tcPr>
          <w:p>
            <w:pPr>
              <w:jc w:val="center"/>
              <w:rPr>
                <w:rFonts w:ascii="Times New Roman" w:hAnsi="Times New Roman" w:eastAsia="仿宋_GB2312" w:cs="Times New Roman"/>
                <w:sz w:val="24"/>
                <w:szCs w:val="24"/>
              </w:rPr>
            </w:pP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主管行长</w:t>
            </w:r>
          </w:p>
        </w:tc>
        <w:tc>
          <w:tcPr>
            <w:tcW w:w="1231" w:type="dxa"/>
            <w:vAlign w:val="top"/>
          </w:tcPr>
          <w:p>
            <w:pPr>
              <w:rPr>
                <w:rFonts w:ascii="Times New Roman" w:hAnsi="Times New Roman" w:eastAsia="仿宋_GB2312" w:cs="Times New Roman"/>
                <w:sz w:val="24"/>
                <w:szCs w:val="24"/>
              </w:rPr>
            </w:pPr>
          </w:p>
        </w:tc>
        <w:tc>
          <w:tcPr>
            <w:tcW w:w="1392"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Merge w:val="continue"/>
            <w:vAlign w:val="center"/>
          </w:tcPr>
          <w:p>
            <w:pPr>
              <w:jc w:val="center"/>
              <w:rPr>
                <w:rFonts w:ascii="Times New Roman" w:hAnsi="Times New Roman" w:eastAsia="仿宋_GB2312" w:cs="Times New Roman"/>
                <w:sz w:val="24"/>
                <w:szCs w:val="24"/>
              </w:rPr>
            </w:pP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部门负责人</w:t>
            </w:r>
          </w:p>
        </w:tc>
        <w:tc>
          <w:tcPr>
            <w:tcW w:w="1231" w:type="dxa"/>
            <w:vAlign w:val="top"/>
          </w:tcPr>
          <w:p>
            <w:pPr>
              <w:rPr>
                <w:rFonts w:ascii="Times New Roman" w:hAnsi="Times New Roman" w:eastAsia="仿宋_GB2312" w:cs="Times New Roman"/>
                <w:sz w:val="24"/>
                <w:szCs w:val="24"/>
              </w:rPr>
            </w:pPr>
          </w:p>
        </w:tc>
        <w:tc>
          <w:tcPr>
            <w:tcW w:w="1392"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Merge w:val="continue"/>
            <w:vAlign w:val="center"/>
          </w:tcPr>
          <w:p>
            <w:pPr>
              <w:jc w:val="center"/>
              <w:rPr>
                <w:rFonts w:ascii="Times New Roman" w:hAnsi="Times New Roman" w:eastAsia="仿宋_GB2312" w:cs="Times New Roman"/>
                <w:sz w:val="24"/>
                <w:szCs w:val="24"/>
              </w:rPr>
            </w:pP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业务联系人</w:t>
            </w:r>
          </w:p>
        </w:tc>
        <w:tc>
          <w:tcPr>
            <w:tcW w:w="1231" w:type="dxa"/>
            <w:vAlign w:val="top"/>
          </w:tcPr>
          <w:p>
            <w:pPr>
              <w:rPr>
                <w:rFonts w:ascii="Times New Roman" w:hAnsi="Times New Roman" w:eastAsia="仿宋_GB2312" w:cs="Times New Roman"/>
                <w:sz w:val="24"/>
                <w:szCs w:val="24"/>
              </w:rPr>
            </w:pPr>
          </w:p>
        </w:tc>
        <w:tc>
          <w:tcPr>
            <w:tcW w:w="1392"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24" w:hRule="atLeast"/>
        </w:trPr>
        <w:tc>
          <w:tcPr>
            <w:tcW w:w="8352" w:type="dxa"/>
            <w:gridSpan w:val="6"/>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备案声明：</w:t>
            </w: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r>
              <w:rPr>
                <w:rFonts w:ascii="Times New Roman" w:hAnsi="Times New Roman" w:eastAsia="仿宋_GB2312" w:cs="Times New Roman"/>
                <w:sz w:val="24"/>
                <w:szCs w:val="24"/>
              </w:rPr>
              <w:t>以上情况全部属实，如有不真实，愿承担由此引起的法律责任。</w:t>
            </w: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备案银行签章      </w:t>
            </w:r>
          </w:p>
          <w:p>
            <w:pPr>
              <w:ind w:firstLine="465"/>
              <w:jc w:val="right"/>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20xx年xx月xx日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352" w:type="dxa"/>
            <w:gridSpan w:val="6"/>
            <w:tcBorders>
              <w:bottom w:val="single" w:color="000000"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备案意见：</w:t>
            </w:r>
          </w:p>
          <w:p>
            <w:pPr>
              <w:rPr>
                <w:rFonts w:ascii="Times New Roman" w:hAnsi="Times New Roman" w:eastAsia="仿宋_GB2312" w:cs="Times New Roman"/>
                <w:sz w:val="24"/>
                <w:szCs w:val="24"/>
              </w:rPr>
            </w:pP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予以备案。自备案之日起30个工作日后你行可办理调运外币现钞进出境业务。</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你行办理调运外币现钞进出境业务，应遵照《调运外币现钞进出境管理规定》（汇发〔2019〕16号）等有关规定执行。</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国家外汇管理局      </w:t>
            </w:r>
          </w:p>
          <w:p>
            <w:pPr>
              <w:wordWrap w:val="0"/>
              <w:ind w:firstLine="465"/>
              <w:jc w:val="right"/>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eastAsia="zh-CN"/>
              </w:rPr>
              <w:t>广东省</w:t>
            </w:r>
            <w:r>
              <w:rPr>
                <w:rFonts w:ascii="Times New Roman" w:hAnsi="Times New Roman" w:eastAsia="仿宋_GB2312" w:cs="Times New Roman"/>
                <w:sz w:val="24"/>
                <w:szCs w:val="24"/>
              </w:rPr>
              <w:t>分局签章</w:t>
            </w:r>
            <w:r>
              <w:rPr>
                <w:rFonts w:hint="eastAsia" w:ascii="Times New Roman" w:hAnsi="Times New Roman" w:eastAsia="仿宋_GB2312" w:cs="Times New Roman"/>
                <w:sz w:val="24"/>
                <w:szCs w:val="24"/>
                <w:lang w:val="en-US" w:eastAsia="zh-CN"/>
              </w:rPr>
              <w:t xml:space="preserve">     </w:t>
            </w:r>
            <w:r>
              <w:rPr>
                <w:rFonts w:ascii="Times New Roman" w:hAnsi="Times New Roman" w:eastAsia="仿宋_GB2312" w:cs="Times New Roman"/>
                <w:sz w:val="24"/>
                <w:szCs w:val="24"/>
              </w:rPr>
              <w:t xml:space="preserve"> </w:t>
            </w:r>
          </w:p>
          <w:p>
            <w:pPr>
              <w:ind w:right="480"/>
              <w:rPr>
                <w:rFonts w:ascii="Times New Roman" w:hAnsi="Times New Roman" w:eastAsia="仿宋_GB2312" w:cs="Times New Roman"/>
                <w:sz w:val="24"/>
                <w:szCs w:val="24"/>
              </w:rPr>
            </w:pPr>
          </w:p>
          <w:p>
            <w:pPr>
              <w:wordWrap w:val="0"/>
              <w:ind w:firstLine="480" w:firstLineChars="200"/>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352" w:type="dxa"/>
            <w:gridSpan w:val="6"/>
            <w:tcBorders>
              <w:left w:val="nil"/>
              <w:bottom w:val="nil"/>
              <w:right w:val="nil"/>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附注：</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1.本表仅适用于境内商业银行总行（或外国银行分行）。</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2.本表一式两份，分别由备案银行及其所在地外汇分局留存。</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3.备案银行名称及社会统一信用代码应与工商营业执照信息一致。</w:t>
            </w:r>
          </w:p>
        </w:tc>
      </w:tr>
    </w:tbl>
    <w:p>
      <w:pPr>
        <w:rPr>
          <w:rFonts w:ascii="Times New Roman" w:hAnsi="Times New Roman" w:cs="Times New Roman"/>
        </w:rPr>
      </w:pPr>
    </w:p>
    <w:p>
      <w:pPr>
        <w:rPr>
          <w:rFonts w:ascii="Times New Roman" w:hAnsi="Times New Roman" w:cs="Times New Roman"/>
        </w:rPr>
      </w:pPr>
    </w:p>
    <w:p>
      <w:pPr>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附表2</w:t>
      </w:r>
    </w:p>
    <w:p>
      <w:pPr>
        <w:spacing w:line="360" w:lineRule="auto"/>
        <w:rPr>
          <w:rFonts w:ascii="Times New Roman" w:hAnsi="Times New Roman" w:eastAsia="仿宋_GB2312" w:cs="Times New Roman"/>
          <w:sz w:val="34"/>
          <w:szCs w:val="34"/>
        </w:rPr>
      </w:pPr>
    </w:p>
    <w:p>
      <w:pPr>
        <w:spacing w:afterLines="100"/>
        <w:jc w:val="center"/>
        <w:rPr>
          <w:rFonts w:ascii="Times New Roman" w:hAnsi="Times New Roman" w:eastAsia="仿宋_GB2312" w:cs="Times New Roman"/>
          <w:b/>
          <w:spacing w:val="-20"/>
          <w:sz w:val="40"/>
          <w:szCs w:val="44"/>
        </w:rPr>
      </w:pPr>
      <w:r>
        <w:rPr>
          <w:rFonts w:ascii="Times New Roman" w:hAnsi="Times New Roman" w:eastAsia="仿宋_GB2312" w:cs="Times New Roman"/>
          <w:b/>
          <w:spacing w:val="-20"/>
          <w:sz w:val="40"/>
          <w:szCs w:val="44"/>
        </w:rPr>
        <w:t>银行停办调运外币现钞进出境业务备案表（示范文本）</w:t>
      </w:r>
    </w:p>
    <w:tbl>
      <w:tblPr>
        <w:tblStyle w:val="18"/>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0"/>
        <w:gridCol w:w="71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1" w:hRule="atLeast"/>
        </w:trPr>
        <w:tc>
          <w:tcPr>
            <w:tcW w:w="1420"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备案银行</w:t>
            </w:r>
          </w:p>
        </w:tc>
        <w:tc>
          <w:tcPr>
            <w:tcW w:w="7102" w:type="dxa"/>
            <w:vAlign w:val="top"/>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XX银行股份有限公司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0" w:hRule="atLeast"/>
        </w:trPr>
        <w:tc>
          <w:tcPr>
            <w:tcW w:w="142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统一社会</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信用代码</w:t>
            </w:r>
          </w:p>
        </w:tc>
        <w:tc>
          <w:tcPr>
            <w:tcW w:w="7102"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XXXXXXXXXXXX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4" w:hRule="atLeast"/>
        </w:trPr>
        <w:tc>
          <w:tcPr>
            <w:tcW w:w="142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停办时间</w:t>
            </w:r>
          </w:p>
        </w:tc>
        <w:tc>
          <w:tcPr>
            <w:tcW w:w="7102" w:type="dxa"/>
            <w:vAlign w:val="top"/>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20xx年x月xx日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1" w:hRule="atLeast"/>
        </w:trPr>
        <w:tc>
          <w:tcPr>
            <w:tcW w:w="142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停办原因</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说明</w:t>
            </w:r>
          </w:p>
        </w:tc>
        <w:tc>
          <w:tcPr>
            <w:tcW w:w="7102" w:type="dxa"/>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44" w:hRule="atLeast"/>
        </w:trPr>
        <w:tc>
          <w:tcPr>
            <w:tcW w:w="8522" w:type="dxa"/>
            <w:gridSpan w:val="2"/>
            <w:vAlign w:val="top"/>
          </w:tcPr>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备案声明：</w:t>
            </w:r>
          </w:p>
          <w:p>
            <w:pPr>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r>
              <w:rPr>
                <w:rFonts w:ascii="Times New Roman" w:hAnsi="Times New Roman" w:eastAsia="仿宋_GB2312" w:cs="Times New Roman"/>
                <w:sz w:val="24"/>
                <w:szCs w:val="24"/>
              </w:rPr>
              <w:t>以上情况全部属实，如有不真实，愿承担由此引起的法律责任。</w:t>
            </w: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备案银行签章      </w:t>
            </w:r>
          </w:p>
          <w:p>
            <w:pPr>
              <w:ind w:firstLine="465"/>
              <w:jc w:val="right"/>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20xx年xx月xx日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2"/>
            <w:tcBorders>
              <w:left w:val="nil"/>
              <w:bottom w:val="nil"/>
              <w:right w:val="nil"/>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附注：</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1.本表仅适用于境内商业银行总行（或外国银行分行）。</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2.备案银行名称及社会统一信用代码应与工商营业执照信息一致。</w:t>
            </w:r>
          </w:p>
        </w:tc>
      </w:tr>
    </w:tbl>
    <w:p>
      <w:pPr>
        <w:rPr>
          <w:rFonts w:ascii="Times New Roman" w:hAnsi="Times New Roman" w:cs="Times New Roman"/>
        </w:rPr>
      </w:pPr>
      <w:r>
        <w:rPr>
          <w:rFonts w:ascii="Times New Roman" w:hAnsi="Times New Roman" w:eastAsia="仿宋_GB2312" w:cs="Times New Roman"/>
          <w:sz w:val="24"/>
          <w:szCs w:val="24"/>
        </w:rPr>
        <w:t>3.“停办时间”是指正式停止办理调运外币现钞进出境业务的日期。</w:t>
      </w:r>
    </w:p>
    <w:p>
      <w:pPr>
        <w:ind w:right="300"/>
        <w:rPr>
          <w:rFonts w:ascii="Times New Roman" w:hAnsi="Times New Roman" w:cs="Times New Roman"/>
        </w:rPr>
      </w:pPr>
    </w:p>
    <w:p>
      <w:pPr>
        <w:widowControl/>
        <w:jc w:val="left"/>
        <w:rPr>
          <w:rFonts w:ascii="Times New Roman" w:hAnsi="Times New Roman" w:eastAsia="仿宋_GB2312" w:cs="Times New Roman"/>
          <w:sz w:val="30"/>
          <w:szCs w:val="30"/>
        </w:rPr>
      </w:pP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ˎ̥">
    <w:altName w:val="Segoe Print"/>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7</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1</w:t>
    </w:r>
    <w:r>
      <w:rPr>
        <w:lang w:val="zh-CN"/>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6</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3372"/>
    <w:rsid w:val="00022191"/>
    <w:rsid w:val="00023783"/>
    <w:rsid w:val="00041960"/>
    <w:rsid w:val="00042B58"/>
    <w:rsid w:val="00054B00"/>
    <w:rsid w:val="00055270"/>
    <w:rsid w:val="00057F76"/>
    <w:rsid w:val="0006200B"/>
    <w:rsid w:val="0006560A"/>
    <w:rsid w:val="00072F8A"/>
    <w:rsid w:val="000750C8"/>
    <w:rsid w:val="00080630"/>
    <w:rsid w:val="00091661"/>
    <w:rsid w:val="00092D53"/>
    <w:rsid w:val="00096CBB"/>
    <w:rsid w:val="00097F7B"/>
    <w:rsid w:val="000B1B41"/>
    <w:rsid w:val="000B6901"/>
    <w:rsid w:val="000B728B"/>
    <w:rsid w:val="000C15B3"/>
    <w:rsid w:val="000C2B33"/>
    <w:rsid w:val="000D1995"/>
    <w:rsid w:val="000D58AA"/>
    <w:rsid w:val="000D7478"/>
    <w:rsid w:val="000F4F5C"/>
    <w:rsid w:val="00120DFD"/>
    <w:rsid w:val="00121179"/>
    <w:rsid w:val="0012271F"/>
    <w:rsid w:val="00130519"/>
    <w:rsid w:val="00135BEE"/>
    <w:rsid w:val="0014667A"/>
    <w:rsid w:val="00154B58"/>
    <w:rsid w:val="00157C64"/>
    <w:rsid w:val="00157E81"/>
    <w:rsid w:val="00170126"/>
    <w:rsid w:val="00177059"/>
    <w:rsid w:val="00181D3E"/>
    <w:rsid w:val="00185A51"/>
    <w:rsid w:val="00186BC2"/>
    <w:rsid w:val="00196FAE"/>
    <w:rsid w:val="001A3E49"/>
    <w:rsid w:val="001A72AA"/>
    <w:rsid w:val="001B09C8"/>
    <w:rsid w:val="001B1E2C"/>
    <w:rsid w:val="001C44C7"/>
    <w:rsid w:val="001D65A2"/>
    <w:rsid w:val="001E1407"/>
    <w:rsid w:val="001F08A9"/>
    <w:rsid w:val="001F4BD4"/>
    <w:rsid w:val="001F7297"/>
    <w:rsid w:val="00205D07"/>
    <w:rsid w:val="00212F39"/>
    <w:rsid w:val="00217116"/>
    <w:rsid w:val="00226CDF"/>
    <w:rsid w:val="00231EED"/>
    <w:rsid w:val="00233841"/>
    <w:rsid w:val="002343C8"/>
    <w:rsid w:val="00235736"/>
    <w:rsid w:val="00235F24"/>
    <w:rsid w:val="002417D2"/>
    <w:rsid w:val="00241FE8"/>
    <w:rsid w:val="0024527E"/>
    <w:rsid w:val="00253F7B"/>
    <w:rsid w:val="00263773"/>
    <w:rsid w:val="00263B1F"/>
    <w:rsid w:val="00271A6A"/>
    <w:rsid w:val="00281976"/>
    <w:rsid w:val="00291C17"/>
    <w:rsid w:val="0029313A"/>
    <w:rsid w:val="002A668C"/>
    <w:rsid w:val="002B0B1C"/>
    <w:rsid w:val="002B598D"/>
    <w:rsid w:val="002B61C1"/>
    <w:rsid w:val="002C38CF"/>
    <w:rsid w:val="002D5B1D"/>
    <w:rsid w:val="002E1323"/>
    <w:rsid w:val="002F2D2F"/>
    <w:rsid w:val="002F3868"/>
    <w:rsid w:val="002F633D"/>
    <w:rsid w:val="00300EF5"/>
    <w:rsid w:val="00302119"/>
    <w:rsid w:val="00302E87"/>
    <w:rsid w:val="00307F23"/>
    <w:rsid w:val="00310261"/>
    <w:rsid w:val="00317654"/>
    <w:rsid w:val="0031779B"/>
    <w:rsid w:val="003425E6"/>
    <w:rsid w:val="00343044"/>
    <w:rsid w:val="00344B01"/>
    <w:rsid w:val="00353AC4"/>
    <w:rsid w:val="003616B4"/>
    <w:rsid w:val="00373EC0"/>
    <w:rsid w:val="00382911"/>
    <w:rsid w:val="003A090F"/>
    <w:rsid w:val="003A57B2"/>
    <w:rsid w:val="003A7229"/>
    <w:rsid w:val="003B755F"/>
    <w:rsid w:val="003C0E26"/>
    <w:rsid w:val="003C7132"/>
    <w:rsid w:val="003D5E28"/>
    <w:rsid w:val="003D607A"/>
    <w:rsid w:val="003D77A5"/>
    <w:rsid w:val="003E6BF6"/>
    <w:rsid w:val="003F221D"/>
    <w:rsid w:val="003F3097"/>
    <w:rsid w:val="00402AE8"/>
    <w:rsid w:val="00404C3E"/>
    <w:rsid w:val="00405FE6"/>
    <w:rsid w:val="004105BC"/>
    <w:rsid w:val="00420571"/>
    <w:rsid w:val="00421C27"/>
    <w:rsid w:val="00440A1F"/>
    <w:rsid w:val="00443603"/>
    <w:rsid w:val="00443604"/>
    <w:rsid w:val="004501EA"/>
    <w:rsid w:val="00452108"/>
    <w:rsid w:val="00460458"/>
    <w:rsid w:val="004626B7"/>
    <w:rsid w:val="0046792D"/>
    <w:rsid w:val="00475E80"/>
    <w:rsid w:val="004767DF"/>
    <w:rsid w:val="00493CCC"/>
    <w:rsid w:val="004A0218"/>
    <w:rsid w:val="004A7840"/>
    <w:rsid w:val="004B545A"/>
    <w:rsid w:val="004B7E80"/>
    <w:rsid w:val="004C457E"/>
    <w:rsid w:val="004C48D5"/>
    <w:rsid w:val="004D03B7"/>
    <w:rsid w:val="004D1436"/>
    <w:rsid w:val="004D2003"/>
    <w:rsid w:val="004D4EF1"/>
    <w:rsid w:val="004D57AE"/>
    <w:rsid w:val="004E6A8C"/>
    <w:rsid w:val="004E6C83"/>
    <w:rsid w:val="005056D4"/>
    <w:rsid w:val="0051145B"/>
    <w:rsid w:val="0052193E"/>
    <w:rsid w:val="00526B2B"/>
    <w:rsid w:val="00530798"/>
    <w:rsid w:val="005362B0"/>
    <w:rsid w:val="00542447"/>
    <w:rsid w:val="00564312"/>
    <w:rsid w:val="0056467D"/>
    <w:rsid w:val="005A2981"/>
    <w:rsid w:val="005C3FAA"/>
    <w:rsid w:val="005C6937"/>
    <w:rsid w:val="005C7F02"/>
    <w:rsid w:val="005E1B5C"/>
    <w:rsid w:val="005F0A86"/>
    <w:rsid w:val="005F144A"/>
    <w:rsid w:val="005F1C00"/>
    <w:rsid w:val="0061621E"/>
    <w:rsid w:val="006245C1"/>
    <w:rsid w:val="00624687"/>
    <w:rsid w:val="00630AA8"/>
    <w:rsid w:val="00630B2E"/>
    <w:rsid w:val="00630E72"/>
    <w:rsid w:val="00643D2A"/>
    <w:rsid w:val="0066041A"/>
    <w:rsid w:val="00660FD7"/>
    <w:rsid w:val="00664E11"/>
    <w:rsid w:val="00673B30"/>
    <w:rsid w:val="00696E5D"/>
    <w:rsid w:val="006A1005"/>
    <w:rsid w:val="006A1A06"/>
    <w:rsid w:val="006B49E8"/>
    <w:rsid w:val="006B5B86"/>
    <w:rsid w:val="006C5908"/>
    <w:rsid w:val="006C633E"/>
    <w:rsid w:val="006D56AB"/>
    <w:rsid w:val="006D734F"/>
    <w:rsid w:val="006D74BC"/>
    <w:rsid w:val="006E043F"/>
    <w:rsid w:val="006E4695"/>
    <w:rsid w:val="006E4B8B"/>
    <w:rsid w:val="006E5901"/>
    <w:rsid w:val="006F6D10"/>
    <w:rsid w:val="0071091C"/>
    <w:rsid w:val="00714961"/>
    <w:rsid w:val="00732E0D"/>
    <w:rsid w:val="00744BD5"/>
    <w:rsid w:val="00745748"/>
    <w:rsid w:val="00747B03"/>
    <w:rsid w:val="00750E36"/>
    <w:rsid w:val="00753CB0"/>
    <w:rsid w:val="00755460"/>
    <w:rsid w:val="00761FB7"/>
    <w:rsid w:val="00762107"/>
    <w:rsid w:val="00764CB9"/>
    <w:rsid w:val="00765B05"/>
    <w:rsid w:val="0077269F"/>
    <w:rsid w:val="00785F45"/>
    <w:rsid w:val="007A07F1"/>
    <w:rsid w:val="007A2780"/>
    <w:rsid w:val="007A68EA"/>
    <w:rsid w:val="007B06FC"/>
    <w:rsid w:val="007B0FEF"/>
    <w:rsid w:val="007B2DB5"/>
    <w:rsid w:val="007D2C11"/>
    <w:rsid w:val="007D6171"/>
    <w:rsid w:val="007D69EA"/>
    <w:rsid w:val="007E2C7B"/>
    <w:rsid w:val="007E411B"/>
    <w:rsid w:val="007F0863"/>
    <w:rsid w:val="007F2F3B"/>
    <w:rsid w:val="00800D52"/>
    <w:rsid w:val="00802307"/>
    <w:rsid w:val="0082168E"/>
    <w:rsid w:val="00821968"/>
    <w:rsid w:val="0084639E"/>
    <w:rsid w:val="008471B6"/>
    <w:rsid w:val="00851521"/>
    <w:rsid w:val="0085686A"/>
    <w:rsid w:val="00860878"/>
    <w:rsid w:val="008731FF"/>
    <w:rsid w:val="0088294A"/>
    <w:rsid w:val="00884A76"/>
    <w:rsid w:val="0089282A"/>
    <w:rsid w:val="008A4538"/>
    <w:rsid w:val="008A704B"/>
    <w:rsid w:val="008B08D2"/>
    <w:rsid w:val="008B3B99"/>
    <w:rsid w:val="008B4EE5"/>
    <w:rsid w:val="008B5807"/>
    <w:rsid w:val="008C4A01"/>
    <w:rsid w:val="008D5FA0"/>
    <w:rsid w:val="008E2D38"/>
    <w:rsid w:val="008E6FDE"/>
    <w:rsid w:val="008F5724"/>
    <w:rsid w:val="008F5900"/>
    <w:rsid w:val="00902633"/>
    <w:rsid w:val="009027D8"/>
    <w:rsid w:val="0090372F"/>
    <w:rsid w:val="00911E27"/>
    <w:rsid w:val="00911E9A"/>
    <w:rsid w:val="0092129A"/>
    <w:rsid w:val="00925BB2"/>
    <w:rsid w:val="00930C8C"/>
    <w:rsid w:val="009341A0"/>
    <w:rsid w:val="009360EA"/>
    <w:rsid w:val="00947C57"/>
    <w:rsid w:val="00951149"/>
    <w:rsid w:val="00960EDB"/>
    <w:rsid w:val="009622DB"/>
    <w:rsid w:val="009664BC"/>
    <w:rsid w:val="00980F02"/>
    <w:rsid w:val="00991B77"/>
    <w:rsid w:val="00997523"/>
    <w:rsid w:val="009A0C5D"/>
    <w:rsid w:val="009A58EB"/>
    <w:rsid w:val="009A759D"/>
    <w:rsid w:val="009C4672"/>
    <w:rsid w:val="009C491B"/>
    <w:rsid w:val="009D0911"/>
    <w:rsid w:val="009D24F8"/>
    <w:rsid w:val="009D688C"/>
    <w:rsid w:val="009F7A36"/>
    <w:rsid w:val="00A05404"/>
    <w:rsid w:val="00A1258B"/>
    <w:rsid w:val="00A249C2"/>
    <w:rsid w:val="00A24FAB"/>
    <w:rsid w:val="00A27E4F"/>
    <w:rsid w:val="00A301E7"/>
    <w:rsid w:val="00A3068F"/>
    <w:rsid w:val="00A42E69"/>
    <w:rsid w:val="00A45CA7"/>
    <w:rsid w:val="00A51415"/>
    <w:rsid w:val="00A6014E"/>
    <w:rsid w:val="00A60356"/>
    <w:rsid w:val="00A66F2C"/>
    <w:rsid w:val="00A81DF1"/>
    <w:rsid w:val="00A90EF3"/>
    <w:rsid w:val="00AA7717"/>
    <w:rsid w:val="00AB131E"/>
    <w:rsid w:val="00AB60F8"/>
    <w:rsid w:val="00AB644F"/>
    <w:rsid w:val="00AC3F5E"/>
    <w:rsid w:val="00AE7ACF"/>
    <w:rsid w:val="00B06409"/>
    <w:rsid w:val="00B10912"/>
    <w:rsid w:val="00B17D66"/>
    <w:rsid w:val="00B31FD9"/>
    <w:rsid w:val="00B33782"/>
    <w:rsid w:val="00B35D3A"/>
    <w:rsid w:val="00B422F1"/>
    <w:rsid w:val="00B71531"/>
    <w:rsid w:val="00B7456C"/>
    <w:rsid w:val="00B84131"/>
    <w:rsid w:val="00B8630E"/>
    <w:rsid w:val="00B931F4"/>
    <w:rsid w:val="00B95573"/>
    <w:rsid w:val="00B96395"/>
    <w:rsid w:val="00BA2AF8"/>
    <w:rsid w:val="00BB2650"/>
    <w:rsid w:val="00BB5B14"/>
    <w:rsid w:val="00BB5BDC"/>
    <w:rsid w:val="00BB7683"/>
    <w:rsid w:val="00BB7B76"/>
    <w:rsid w:val="00BC7E04"/>
    <w:rsid w:val="00BD233D"/>
    <w:rsid w:val="00BD6698"/>
    <w:rsid w:val="00BF05C0"/>
    <w:rsid w:val="00BF4EF0"/>
    <w:rsid w:val="00C01775"/>
    <w:rsid w:val="00C02E44"/>
    <w:rsid w:val="00C147D2"/>
    <w:rsid w:val="00C2075F"/>
    <w:rsid w:val="00C2377A"/>
    <w:rsid w:val="00C23799"/>
    <w:rsid w:val="00C274C9"/>
    <w:rsid w:val="00C31E02"/>
    <w:rsid w:val="00C405CF"/>
    <w:rsid w:val="00C45BC1"/>
    <w:rsid w:val="00C54291"/>
    <w:rsid w:val="00C55166"/>
    <w:rsid w:val="00C672C3"/>
    <w:rsid w:val="00C712B2"/>
    <w:rsid w:val="00C94325"/>
    <w:rsid w:val="00C946FA"/>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1626"/>
    <w:rsid w:val="00D33A4D"/>
    <w:rsid w:val="00D33F76"/>
    <w:rsid w:val="00D41F5E"/>
    <w:rsid w:val="00D43DC0"/>
    <w:rsid w:val="00D54E56"/>
    <w:rsid w:val="00D6407D"/>
    <w:rsid w:val="00D93E78"/>
    <w:rsid w:val="00DA7D86"/>
    <w:rsid w:val="00DC6E91"/>
    <w:rsid w:val="00DC7514"/>
    <w:rsid w:val="00DD3845"/>
    <w:rsid w:val="00DD3C89"/>
    <w:rsid w:val="00E1687A"/>
    <w:rsid w:val="00E20A2E"/>
    <w:rsid w:val="00E277DE"/>
    <w:rsid w:val="00E27EE9"/>
    <w:rsid w:val="00E3239D"/>
    <w:rsid w:val="00E3254B"/>
    <w:rsid w:val="00E3439B"/>
    <w:rsid w:val="00E42C5F"/>
    <w:rsid w:val="00E56379"/>
    <w:rsid w:val="00E65A1B"/>
    <w:rsid w:val="00E72F1F"/>
    <w:rsid w:val="00E934AB"/>
    <w:rsid w:val="00EA06AC"/>
    <w:rsid w:val="00EA08BF"/>
    <w:rsid w:val="00EA24FB"/>
    <w:rsid w:val="00EB3204"/>
    <w:rsid w:val="00EB50BA"/>
    <w:rsid w:val="00EC3D33"/>
    <w:rsid w:val="00ED302A"/>
    <w:rsid w:val="00ED3A42"/>
    <w:rsid w:val="00EE02BC"/>
    <w:rsid w:val="00EE6970"/>
    <w:rsid w:val="00EF38D0"/>
    <w:rsid w:val="00EF3DDF"/>
    <w:rsid w:val="00EF4A8C"/>
    <w:rsid w:val="00EF4EB8"/>
    <w:rsid w:val="00F2678C"/>
    <w:rsid w:val="00F27B38"/>
    <w:rsid w:val="00F341DD"/>
    <w:rsid w:val="00F40278"/>
    <w:rsid w:val="00F41832"/>
    <w:rsid w:val="00F43EE1"/>
    <w:rsid w:val="00F56988"/>
    <w:rsid w:val="00F620FB"/>
    <w:rsid w:val="00F64129"/>
    <w:rsid w:val="00F6571F"/>
    <w:rsid w:val="00F755CD"/>
    <w:rsid w:val="00F82E7A"/>
    <w:rsid w:val="00F8687E"/>
    <w:rsid w:val="00F8707A"/>
    <w:rsid w:val="00F91E34"/>
    <w:rsid w:val="00F93331"/>
    <w:rsid w:val="00F95549"/>
    <w:rsid w:val="00FA1E24"/>
    <w:rsid w:val="00FA2450"/>
    <w:rsid w:val="00FA24FB"/>
    <w:rsid w:val="00FA632B"/>
    <w:rsid w:val="00FB38EA"/>
    <w:rsid w:val="00FB5E0F"/>
    <w:rsid w:val="00FB6AFF"/>
    <w:rsid w:val="00FC4D8F"/>
    <w:rsid w:val="00FD06D3"/>
    <w:rsid w:val="00FD10C1"/>
    <w:rsid w:val="00FD5574"/>
    <w:rsid w:val="00FD7A1B"/>
    <w:rsid w:val="00FE3157"/>
    <w:rsid w:val="00FE6865"/>
    <w:rsid w:val="00FE6993"/>
    <w:rsid w:val="00FE766F"/>
    <w:rsid w:val="077E1B0D"/>
    <w:rsid w:val="0B6A7AF9"/>
    <w:rsid w:val="107E1654"/>
    <w:rsid w:val="34714498"/>
    <w:rsid w:val="3B431B85"/>
    <w:rsid w:val="3D984AD1"/>
    <w:rsid w:val="42942068"/>
    <w:rsid w:val="4CEB04DC"/>
    <w:rsid w:val="5ABF35BD"/>
    <w:rsid w:val="65DA4DCC"/>
    <w:rsid w:val="72DA649C"/>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8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qFormat/>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429</Words>
  <Characters>2451</Characters>
  <Lines>20</Lines>
  <Paragraphs>5</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2020-02-27T03:28:00Z</dcterms:created>
  <dc:creator>裴建君2</dc:creator>
  <cp:lastModifiedBy>李宁</cp:lastModifiedBy>
  <cp:lastPrinted>2019-06-11T06:57:00Z</cp:lastPrinted>
  <dcterms:modified xsi:type="dcterms:W3CDTF">2023-08-30T08:00:54Z</dcterms:modified>
  <dc:title>编号：57016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