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left"/>
        <w:rPr>
          <w:rFonts w:ascii="Times New Roman" w:hAnsi="Times New Roman" w:eastAsia="黑体" w:cs="Times New Roman"/>
          <w:sz w:val="30"/>
          <w:szCs w:val="30"/>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四、内保外贷</w:t>
      </w:r>
      <w:r>
        <w:rPr>
          <w:rFonts w:hint="eastAsia" w:ascii="Times New Roman" w:hAnsi="黑体" w:eastAsia="黑体" w:cs="Times New Roman"/>
          <w:sz w:val="30"/>
          <w:szCs w:val="30"/>
          <w:lang w:eastAsia="zh-CN"/>
        </w:rPr>
        <w:t>担保</w:t>
      </w:r>
      <w:r>
        <w:rPr>
          <w:rFonts w:ascii="Times New Roman" w:hAnsi="黑体" w:eastAsia="黑体" w:cs="Times New Roman"/>
          <w:sz w:val="30"/>
          <w:szCs w:val="30"/>
        </w:rPr>
        <w:t>履约对外债权登记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r>
        <w:rPr>
          <w:rFonts w:hint="eastAsia" w:ascii="Times New Roman" w:hAnsi="Times New Roman" w:eastAsia="仿宋_GB2312" w:cs="Times New Roman"/>
          <w:sz w:val="30"/>
          <w:szCs w:val="30"/>
          <w:lang w:eastAsia="zh-CN"/>
        </w:rPr>
        <w:t>；</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r>
        <w:rPr>
          <w:rFonts w:hint="eastAsia" w:ascii="Times New Roman" w:hAnsi="Times New Roman" w:eastAsia="仿宋_GB2312" w:cs="Times New Roman"/>
          <w:sz w:val="30"/>
          <w:szCs w:val="30"/>
          <w:lang w:eastAsia="zh-CN"/>
        </w:rPr>
        <w:t>；</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585"/>
        <w:rPr>
          <w:rFonts w:ascii="Times New Roman" w:hAnsi="Times New Roman" w:eastAsia="黑体" w:cs="Times New Roman"/>
          <w:sz w:val="30"/>
          <w:szCs w:val="30"/>
        </w:rPr>
      </w:pPr>
      <w:r>
        <w:rPr>
          <w:rFonts w:ascii="Times New Roman" w:hAnsi="黑体"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（五）办事条件</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1.内保外贷发生担保履约的，成为对外债权人的境内担保人或境内反担保人，应办理对外债权登记。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2.债权人为非银行机构的，应在担保履约后15个工作日内到所在地外汇局办理对外债权登记，并按规定办理与对外债权相关的变更、注销手续。</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widowControl/>
        <w:ind w:firstLine="600"/>
        <w:rPr>
          <w:rFonts w:ascii="Times New Roman" w:hAnsi="Times New Roman" w:eastAsia="仿宋_GB2312" w:cs="Times New Roman"/>
          <w:sz w:val="30"/>
          <w:szCs w:val="30"/>
        </w:rPr>
      </w:pPr>
      <w:r>
        <w:rPr>
          <w:rFonts w:ascii="Times New Roman" w:hAnsi="黑体"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22" w:type="dxa"/>
            <w:vAlign w:val="center"/>
          </w:tcPr>
          <w:p>
            <w:pPr>
              <w:ind w:left="-84" w:leftChars="-40"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90" w:leftChars="-43"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41" w:leftChars="-67" w:right="-12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vAlign w:val="center"/>
          </w:tcPr>
          <w:p>
            <w:pPr>
              <w:ind w:left="-94" w:leftChars="-45" w:right="-73" w:firstLine="94" w:firstLineChars="3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包括内保外贷签约登记办理情况、担保履约的原因、履约资金来源、境外债务人还款计划及未来还款资金来源等</w:t>
            </w:r>
            <w:r>
              <w:rPr>
                <w:rFonts w:hint="eastAsia" w:ascii="Times New Roman" w:hAnsi="Times New Roman" w:eastAsia="仿宋_GB2312" w:cs="Times New Roman"/>
                <w:sz w:val="24"/>
                <w:szCs w:val="24"/>
              </w:rPr>
              <w:t>）</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430" w:type="dxa"/>
            <w:vAlign w:val="center"/>
          </w:tcPr>
          <w:p>
            <w:pPr>
              <w:ind w:left="-141" w:leftChars="-67"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担保履约证明材料</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（八）基本办理流程</w:t>
      </w:r>
    </w:p>
    <w:p>
      <w:pPr>
        <w:widowControl w:val="0"/>
        <w:tabs>
          <w:tab w:val="left" w:pos="615"/>
        </w:tabs>
        <w:wordWrap/>
        <w:adjustRightInd w:val="0"/>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行政</w:t>
      </w:r>
      <w:r>
        <w:rPr>
          <w:rFonts w:hint="eastAsia"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rPr>
        <w:t>受理</w:t>
      </w:r>
      <w:r>
        <w:rPr>
          <w:rFonts w:hint="eastAsia" w:ascii="Times New Roman" w:hAnsi="Times New Roman" w:eastAsia="仿宋_GB2312" w:cs="Times New Roman"/>
          <w:sz w:val="30"/>
          <w:szCs w:val="30"/>
          <w:lang w:eastAsia="zh-CN"/>
        </w:rPr>
        <w:t>通知书》</w:t>
      </w:r>
      <w:r>
        <w:rPr>
          <w:rFonts w:ascii="Times New Roman" w:hAnsi="Times New Roman" w:eastAsia="仿宋_GB2312" w:cs="Times New Roman"/>
          <w:sz w:val="30"/>
          <w:szCs w:val="30"/>
        </w:rPr>
        <w:t>，按程序进行审核；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不予行政</w:t>
      </w:r>
      <w:r>
        <w:rPr>
          <w:rFonts w:hint="default"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lang w:eastAsia="zh-CN"/>
        </w:rPr>
        <w:t>决定书</w:t>
      </w:r>
      <w:r>
        <w:rPr>
          <w:rFonts w:hint="default"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（十五）办公地址和时间</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办公地址：广东省广州市越秀区沿江西路</w:t>
      </w:r>
      <w:r>
        <w:rPr>
          <w:rFonts w:hint="eastAsia" w:ascii="Times New Roman" w:hAnsi="Times New Roman" w:eastAsia="仿宋_GB2312" w:cs="Times New Roman"/>
          <w:sz w:val="30"/>
          <w:szCs w:val="30"/>
          <w:lang w:val="en-US" w:eastAsia="zh-CN"/>
        </w:rPr>
        <w:t>137号一楼外汇业务厅4-5号窗口</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办公时间：周一至周五（节假日除外）上午8：30-12：00，下午14：00-17：30</w:t>
      </w:r>
    </w:p>
    <w:p>
      <w:pPr>
        <w:adjustRightInd w:val="0"/>
        <w:snapToGrid w:val="0"/>
        <w:spacing w:line="360" w:lineRule="auto"/>
        <w:ind w:firstLine="600"/>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bookmarkStart w:id="0" w:name="_GoBack"/>
      <w:bookmarkEnd w:id="0"/>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49" o:spid="_x0000_s1026" style="position:absolute;left:0;margin-left:-13.25pt;margin-top:14.1pt;height:586.05pt;width:446.05pt;rotation:0f;z-index:251658240;" coordorigin="0,0" coordsize="8921,11721">
            <o:lock v:ext="edit" position="f" selection="f" grouping="f" rotation="f" cropping="f" text="f" aspectratio="f"/>
            <v:rect id="Rectangle 1150"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51"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52"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53"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4"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5"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6"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57"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58" o:spid="_x0000_s1035" style="position:absolute;left:0;top:0;height:7693;width:8921;rotation:0f;" coordorigin="0,0" coordsize="8921,7693">
              <o:lock v:ext="edit" position="f" selection="f" grouping="f" rotation="f" cropping="f" text="f" aspectratio="f"/>
              <v:shape id="AutoShape 1159"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60" o:spid="_x0000_s1037" style="position:absolute;left:0;top:0;height:7693;width:8921;rotation:0f;" coordorigin="0,0" coordsize="8921,7693">
                <o:lock v:ext="edit" position="f" selection="f" grouping="f" rotation="f" cropping="f" text="f" aspectratio="f"/>
                <v:shape id="AutoShape 1161"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62"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63"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64"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65"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66"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p>
                        <w:pPr>
                          <w:jc w:val="center"/>
                        </w:pPr>
                      </w:p>
                    </w:txbxContent>
                  </v:textbox>
                </v:rect>
                <v:rect id="Rectangle 1167"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p/>
                    </w:txbxContent>
                  </v:textbox>
                </v:rect>
                <v:shape id="AutoShape 1168"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1169" o:spid="_x0000_s1046" style="position:absolute;left:0;top:0;height:7424;width:4594;rotation:0f;" coordorigin="0,0" coordsize="4594,7424">
                  <o:lock v:ext="edit" position="f" selection="f" grouping="f" rotation="f" cropping="f" text="f" aspectratio="f"/>
                  <v:shape id="AutoShape 1170"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1"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72" o:spid="_x0000_s1049" style="position:absolute;left:0;top:0;height:3986;width:3629;rotation:0f;" coordorigin="0,0" coordsize="3629,3986">
                    <o:lock v:ext="edit" position="f" selection="f" grouping="f" rotation="f" cropping="f" text="f" aspectratio="f"/>
                    <v:shape id="AutoShape 1173"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4"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5"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76"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77"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8"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9"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80"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81"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82"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adjustRightInd w:val="0"/>
        <w:snapToGrid w:val="0"/>
        <w:spacing w:line="360" w:lineRule="auto"/>
        <w:rPr>
          <w:rFonts w:ascii="Times New Roman" w:hAnsi="Times New Roman" w:eastAsia="仿宋_GB2312" w:cs="Times New Roman"/>
          <w:kern w:val="0"/>
          <w:sz w:val="30"/>
          <w:szCs w:val="30"/>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915D6"/>
    <w:rsid w:val="00291C17"/>
    <w:rsid w:val="0029313A"/>
    <w:rsid w:val="002B0B1C"/>
    <w:rsid w:val="002B598D"/>
    <w:rsid w:val="002B61C1"/>
    <w:rsid w:val="002C0B13"/>
    <w:rsid w:val="002C0FF3"/>
    <w:rsid w:val="002E1323"/>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A57B2"/>
    <w:rsid w:val="003B05BF"/>
    <w:rsid w:val="003C7132"/>
    <w:rsid w:val="003D77A5"/>
    <w:rsid w:val="003E6BF6"/>
    <w:rsid w:val="003F221D"/>
    <w:rsid w:val="003F3097"/>
    <w:rsid w:val="003F6213"/>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1C7"/>
    <w:rsid w:val="004A0218"/>
    <w:rsid w:val="004A7840"/>
    <w:rsid w:val="004B545A"/>
    <w:rsid w:val="004B7E80"/>
    <w:rsid w:val="004C457E"/>
    <w:rsid w:val="004C48D5"/>
    <w:rsid w:val="004D03B7"/>
    <w:rsid w:val="004D1436"/>
    <w:rsid w:val="004D1CAF"/>
    <w:rsid w:val="004D57AE"/>
    <w:rsid w:val="005056D4"/>
    <w:rsid w:val="00507B04"/>
    <w:rsid w:val="00526B2B"/>
    <w:rsid w:val="00526BF1"/>
    <w:rsid w:val="005362B0"/>
    <w:rsid w:val="00542447"/>
    <w:rsid w:val="00564312"/>
    <w:rsid w:val="005A2981"/>
    <w:rsid w:val="005C6937"/>
    <w:rsid w:val="005C7F02"/>
    <w:rsid w:val="005F0A86"/>
    <w:rsid w:val="005F144A"/>
    <w:rsid w:val="005F1C00"/>
    <w:rsid w:val="00605BF9"/>
    <w:rsid w:val="00607F26"/>
    <w:rsid w:val="0061621E"/>
    <w:rsid w:val="00630AA8"/>
    <w:rsid w:val="00630B2E"/>
    <w:rsid w:val="00640F76"/>
    <w:rsid w:val="00643D2A"/>
    <w:rsid w:val="00651530"/>
    <w:rsid w:val="00664E11"/>
    <w:rsid w:val="00673B30"/>
    <w:rsid w:val="00674A78"/>
    <w:rsid w:val="00693524"/>
    <w:rsid w:val="00696E5D"/>
    <w:rsid w:val="00697F1B"/>
    <w:rsid w:val="006A252F"/>
    <w:rsid w:val="006B5B86"/>
    <w:rsid w:val="006C5908"/>
    <w:rsid w:val="006C633E"/>
    <w:rsid w:val="006D734F"/>
    <w:rsid w:val="006E043F"/>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4D"/>
    <w:rsid w:val="00860878"/>
    <w:rsid w:val="008731FF"/>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110E8"/>
    <w:rsid w:val="00911E27"/>
    <w:rsid w:val="0092129A"/>
    <w:rsid w:val="00925BB2"/>
    <w:rsid w:val="00930C8C"/>
    <w:rsid w:val="009360EA"/>
    <w:rsid w:val="00947C57"/>
    <w:rsid w:val="00951149"/>
    <w:rsid w:val="00960EDB"/>
    <w:rsid w:val="009622DB"/>
    <w:rsid w:val="009664BC"/>
    <w:rsid w:val="00967291"/>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0729"/>
    <w:rsid w:val="00AE7ACF"/>
    <w:rsid w:val="00AF5675"/>
    <w:rsid w:val="00AF5DE3"/>
    <w:rsid w:val="00B06409"/>
    <w:rsid w:val="00B17D66"/>
    <w:rsid w:val="00B35D3A"/>
    <w:rsid w:val="00B422F1"/>
    <w:rsid w:val="00B4612F"/>
    <w:rsid w:val="00B57468"/>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4D8F"/>
    <w:rsid w:val="00FD06D3"/>
    <w:rsid w:val="00FE3157"/>
    <w:rsid w:val="00FE6865"/>
    <w:rsid w:val="00FE6993"/>
    <w:rsid w:val="256468FD"/>
    <w:rsid w:val="35150122"/>
    <w:rsid w:val="3A9120A8"/>
    <w:rsid w:val="5826569A"/>
    <w:rsid w:val="5EAD067C"/>
    <w:rsid w:val="60413E28"/>
    <w:rsid w:val="6647060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53"/>
        <o:r id="V:Rule2" type="connector" idref="#AutoShape 1154"/>
        <o:r id="V:Rule3" type="connector" idref="#AutoShape 1155"/>
        <o:r id="V:Rule4" type="connector" idref="#AutoShape 1156"/>
        <o:r id="V:Rule5" type="connector" idref="#AutoShape 1157"/>
        <o:r id="V:Rule6" type="connector" idref="#AutoShape 1159"/>
        <o:r id="V:Rule7" type="connector" idref="#AutoShape 1161"/>
        <o:r id="V:Rule8" type="connector" idref="#AutoShape 1163"/>
        <o:r id="V:Rule9" type="connector" idref="#AutoShape 1170"/>
        <o:r id="V:Rule10" type="connector" idref="#AutoShape 1171"/>
        <o:r id="V:Rule11" type="connector" idref="#AutoShape 1173"/>
        <o:r id="V:Rule12" type="connector" idref="#AutoShape 1174"/>
        <o:r id="V:Rule13" type="connector" idref="#AutoShape 1177"/>
        <o:r id="V:Rule14" type="connector" idref="#AutoShape 1178"/>
        <o:r id="V:Rule15" type="connector" idref="#AutoShape 1179"/>
        <o:r id="V:Rule16" type="connector" idref="#AutoShape 118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348</Words>
  <Characters>1985</Characters>
  <Lines>16</Lines>
  <Paragraphs>4</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2020-03-17T08:13:00Z</dcterms:created>
  <dc:creator>裴建君2</dc:creator>
  <cp:lastModifiedBy>饶正洪</cp:lastModifiedBy>
  <cp:lastPrinted>2017-11-24T00:22:00Z</cp:lastPrinted>
  <dcterms:modified xsi:type="dcterms:W3CDTF">2021-10-20T07:14:42Z</dcterms:modified>
  <dc:title>编号：57007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