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国家外汇管理局福建省分局关于</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开展跨境贸易投资高水平开放试点的通知</w:t>
      </w:r>
    </w:p>
    <w:p>
      <w:pPr>
        <w:pStyle w:val="7"/>
        <w:keepNext w:val="0"/>
        <w:keepLines w:val="0"/>
        <w:widowControl/>
        <w:suppressLineNumbers w:val="0"/>
        <w:jc w:val="center"/>
        <w:rPr>
          <w:rFonts w:hint="eastAsia" w:ascii="方正楷体_GBK" w:hAnsi="方正楷体_GBK" w:eastAsia="方正楷体_GBK" w:cs="方正楷体_GBK"/>
          <w:sz w:val="30"/>
          <w:szCs w:val="30"/>
          <w:lang w:eastAsia="zh-CN"/>
        </w:rPr>
      </w:pPr>
      <w:r>
        <w:rPr>
          <w:rFonts w:hint="eastAsia" w:ascii="黑体" w:hAnsi="黑体" w:eastAsia="黑体" w:cs="黑体"/>
          <w:sz w:val="36"/>
          <w:szCs w:val="36"/>
          <w:lang w:eastAsia="zh-CN"/>
        </w:rPr>
        <w:t>（征求意见稿）</w:t>
      </w:r>
    </w:p>
    <w:p>
      <w:pPr>
        <w:pStyle w:val="7"/>
        <w:keepNext w:val="0"/>
        <w:keepLines w:val="0"/>
        <w:widowControl/>
        <w:suppressLineNumbers w:val="0"/>
        <w:jc w:val="center"/>
        <w:rPr>
          <w:rFonts w:hint="eastAsia" w:ascii="方正楷体_GBK" w:hAnsi="方正楷体_GBK" w:eastAsia="方正楷体_GBK" w:cs="方正楷体_GBK"/>
          <w:sz w:val="30"/>
          <w:szCs w:val="30"/>
          <w:lang w:eastAsia="zh-CN"/>
        </w:rPr>
      </w:pPr>
    </w:p>
    <w:p>
      <w:pPr>
        <w:pStyle w:val="7"/>
        <w:keepNext w:val="0"/>
        <w:keepLines w:val="0"/>
        <w:widowControl/>
        <w:suppressLineNumbers w:val="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国家外汇管理局</w:t>
      </w:r>
      <w:r>
        <w:rPr>
          <w:rFonts w:hint="eastAsia" w:ascii="仿宋_GB2312" w:hAnsi="仿宋_GB2312" w:eastAsia="仿宋_GB2312" w:cs="仿宋_GB2312"/>
          <w:color w:val="000000"/>
          <w:sz w:val="32"/>
          <w:szCs w:val="32"/>
          <w:lang w:eastAsia="zh-CN"/>
        </w:rPr>
        <w:t>福建</w:t>
      </w:r>
      <w:r>
        <w:rPr>
          <w:rFonts w:hint="eastAsia" w:ascii="仿宋_GB2312" w:hAnsi="仿宋_GB2312" w:eastAsia="仿宋_GB2312" w:cs="仿宋_GB2312"/>
          <w:color w:val="000000"/>
          <w:sz w:val="32"/>
          <w:szCs w:val="32"/>
        </w:rPr>
        <w:t>省各市分局，</w:t>
      </w:r>
      <w:r>
        <w:rPr>
          <w:rFonts w:hint="eastAsia" w:ascii="仿宋_GB2312" w:hAnsi="仿宋_GB2312" w:eastAsia="仿宋_GB2312" w:cs="仿宋_GB2312"/>
          <w:color w:val="000000"/>
          <w:sz w:val="32"/>
          <w:szCs w:val="32"/>
          <w:lang w:eastAsia="zh-CN"/>
        </w:rPr>
        <w:t>各有关银行</w:t>
      </w:r>
      <w:bookmarkStart w:id="0" w:name="_GoBack"/>
      <w:bookmarkEnd w:id="0"/>
      <w:r>
        <w:rPr>
          <w:rFonts w:hint="eastAsia" w:ascii="仿宋_GB2312" w:hAnsi="仿宋_GB2312" w:eastAsia="仿宋_GB2312" w:cs="仿宋_GB2312"/>
          <w:color w:val="000000"/>
          <w:sz w:val="32"/>
          <w:szCs w:val="32"/>
          <w:lang w:eastAsia="zh-CN"/>
        </w:rPr>
        <w:t>：</w:t>
      </w:r>
    </w:p>
    <w:p>
      <w:pPr>
        <w:pStyle w:val="7"/>
        <w:keepNext w:val="0"/>
        <w:keepLines w:val="0"/>
        <w:widowControl/>
        <w:suppressLineNumbers w:val="0"/>
        <w:ind w:left="0"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为深入贯彻落实党的二十大和中央金融工作会议精神，支持海峡两岸融合发展示范区建设，进一步促进跨境贸易投资便利化，经国家外汇管理局批复同意，国家外汇管理局福建省分局</w:t>
      </w:r>
      <w:r>
        <w:rPr>
          <w:rFonts w:hint="eastAsia" w:ascii="仿宋_GB2312" w:hAnsi="仿宋_GB2312" w:eastAsia="仿宋_GB2312" w:cs="仿宋_GB2312"/>
          <w:color w:val="000000"/>
          <w:sz w:val="32"/>
          <w:szCs w:val="32"/>
          <w:lang w:eastAsia="zh-CN"/>
        </w:rPr>
        <w:t>（简称福建省分局）决定开展</w:t>
      </w:r>
      <w:r>
        <w:rPr>
          <w:rFonts w:hint="eastAsia" w:ascii="仿宋_GB2312" w:hAnsi="仿宋_GB2312" w:eastAsia="仿宋_GB2312" w:cs="仿宋_GB2312"/>
          <w:color w:val="000000"/>
          <w:sz w:val="32"/>
          <w:szCs w:val="32"/>
        </w:rPr>
        <w:t>跨境贸易投资高水平开放试点</w:t>
      </w:r>
      <w:r>
        <w:rPr>
          <w:rFonts w:hint="eastAsia" w:ascii="仿宋_GB2312" w:hAnsi="仿宋_GB2312" w:eastAsia="仿宋_GB2312" w:cs="仿宋_GB2312"/>
          <w:color w:val="000000"/>
          <w:sz w:val="32"/>
          <w:szCs w:val="32"/>
          <w:lang w:eastAsia="zh-CN"/>
        </w:rPr>
        <w:t>，便利更多经营主体合规办理跨境贸易投资业务，以高水平开放促进高质量发展。</w:t>
      </w:r>
      <w:r>
        <w:rPr>
          <w:rFonts w:hint="eastAsia" w:ascii="仿宋_GB2312" w:hAnsi="仿宋_GB2312" w:eastAsia="仿宋_GB2312" w:cs="仿宋_GB2312"/>
          <w:color w:val="000000"/>
          <w:sz w:val="32"/>
          <w:szCs w:val="32"/>
        </w:rPr>
        <w:t>现就有关事项通知如下</w:t>
      </w:r>
      <w:r>
        <w:rPr>
          <w:rFonts w:hint="eastAsia" w:ascii="仿宋_GB2312" w:hAnsi="仿宋_GB2312" w:eastAsia="仿宋_GB2312" w:cs="仿宋_GB2312"/>
          <w:color w:val="000000"/>
          <w:sz w:val="32"/>
          <w:szCs w:val="32"/>
          <w:lang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lang w:eastAsia="zh-CN"/>
        </w:rPr>
        <w:t>一、在福州、泉州（简称两地区）开展跨境贸易高水平开放试点，实施更加便利的经常项目外汇政策</w:t>
      </w:r>
      <w:r>
        <w:rPr>
          <w:rFonts w:hint="eastAsia" w:ascii="仿宋_GB2312" w:hAnsi="仿宋_GB2312" w:eastAsia="仿宋_GB2312" w:cs="仿宋_GB2312"/>
          <w:color w:val="000000"/>
          <w:sz w:val="32"/>
          <w:szCs w:val="32"/>
          <w:lang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w:t>
      </w:r>
      <w:r>
        <w:rPr>
          <w:rFonts w:hint="eastAsia" w:ascii="仿宋_GB2312" w:hAnsi="仿宋_GB2312" w:eastAsia="仿宋_GB2312" w:cs="仿宋_GB2312"/>
          <w:b/>
          <w:bCs/>
          <w:color w:val="000000"/>
          <w:sz w:val="32"/>
          <w:szCs w:val="32"/>
        </w:rPr>
        <w:t>进一步便利经常项目外汇资金收付。</w:t>
      </w:r>
      <w:r>
        <w:rPr>
          <w:rFonts w:hint="eastAsia" w:ascii="仿宋_GB2312" w:hAnsi="仿宋_GB2312" w:eastAsia="仿宋_GB2312" w:cs="仿宋_GB2312"/>
          <w:color w:val="000000"/>
          <w:sz w:val="32"/>
          <w:szCs w:val="32"/>
          <w:highlight w:val="none"/>
          <w:lang w:eastAsia="zh-CN"/>
        </w:rPr>
        <w:t>两地区</w:t>
      </w:r>
      <w:r>
        <w:rPr>
          <w:rFonts w:hint="eastAsia" w:ascii="仿宋_GB2312" w:hAnsi="仿宋_GB2312" w:eastAsia="仿宋_GB2312" w:cs="仿宋_GB2312"/>
          <w:color w:val="000000"/>
          <w:sz w:val="32"/>
          <w:szCs w:val="32"/>
        </w:rPr>
        <w:t>符合条件的审慎合规银行（以下简称审慎合规银行）可按照“了解客户、了解业务、尽职审查”原则为</w:t>
      </w:r>
      <w:r>
        <w:rPr>
          <w:rFonts w:hint="eastAsia" w:ascii="仿宋_GB2312" w:hAnsi="仿宋_GB2312" w:eastAsia="仿宋_GB2312" w:cs="仿宋_GB2312"/>
          <w:color w:val="000000"/>
          <w:sz w:val="32"/>
          <w:szCs w:val="32"/>
          <w:lang w:eastAsia="zh-CN"/>
        </w:rPr>
        <w:t>两地区内</w:t>
      </w:r>
      <w:r>
        <w:rPr>
          <w:rFonts w:hint="eastAsia" w:ascii="仿宋_GB2312" w:hAnsi="仿宋_GB2312" w:eastAsia="仿宋_GB2312" w:cs="仿宋_GB2312"/>
          <w:color w:val="000000"/>
          <w:sz w:val="32"/>
          <w:szCs w:val="32"/>
        </w:rPr>
        <w:t>试点优质企业办理经常项目外汇收支业务；对于单笔等值5万美元以上的服务贸易等项目外汇支出，可事后核验《服务贸易等项目对外支付税务备案表》</w:t>
      </w:r>
      <w:r>
        <w:rPr>
          <w:rFonts w:hint="eastAsia" w:ascii="仿宋_GB2312" w:hAnsi="仿宋_GB2312" w:eastAsia="仿宋_GB2312" w:cs="仿宋_GB2312"/>
          <w:color w:val="000000"/>
          <w:sz w:val="32"/>
          <w:szCs w:val="32"/>
          <w:lang w:eastAsia="zh-CN"/>
        </w:rPr>
        <w:t>（实施细则见附</w:t>
      </w:r>
      <w:r>
        <w:rPr>
          <w:rFonts w:hint="eastAsia" w:ascii="仿宋_GB2312" w:hAnsi="仿宋_GB2312" w:eastAsia="仿宋_GB2312" w:cs="仿宋_GB2312"/>
          <w:color w:val="000000"/>
          <w:sz w:val="32"/>
          <w:szCs w:val="32"/>
          <w:lang w:val="en-US" w:eastAsia="zh-CN"/>
        </w:rPr>
        <w:t>1）。</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rPr>
        <w:t>支持银行优化新型国际贸易结算。</w:t>
      </w:r>
      <w:r>
        <w:rPr>
          <w:rFonts w:hint="eastAsia" w:ascii="仿宋_GB2312" w:hAnsi="仿宋_GB2312" w:eastAsia="仿宋_GB2312" w:cs="仿宋_GB2312"/>
          <w:color w:val="000000"/>
          <w:sz w:val="32"/>
          <w:szCs w:val="32"/>
        </w:rPr>
        <w:t>鼓励</w:t>
      </w:r>
      <w:r>
        <w:rPr>
          <w:rFonts w:hint="eastAsia" w:ascii="仿宋_GB2312" w:hAnsi="仿宋_GB2312" w:eastAsia="仿宋_GB2312" w:cs="仿宋_GB2312"/>
          <w:color w:val="000000"/>
          <w:sz w:val="32"/>
          <w:szCs w:val="32"/>
          <w:highlight w:val="none"/>
          <w:lang w:eastAsia="zh-CN"/>
        </w:rPr>
        <w:t>两地区</w:t>
      </w:r>
      <w:r>
        <w:rPr>
          <w:rFonts w:hint="eastAsia" w:ascii="仿宋_GB2312" w:hAnsi="仿宋_GB2312" w:eastAsia="仿宋_GB2312" w:cs="仿宋_GB2312"/>
          <w:color w:val="000000"/>
          <w:sz w:val="32"/>
          <w:szCs w:val="32"/>
        </w:rPr>
        <w:t>审慎合规银行创新金融服务，自主办理</w:t>
      </w:r>
      <w:r>
        <w:rPr>
          <w:rFonts w:hint="eastAsia" w:ascii="仿宋_GB2312" w:hAnsi="仿宋_GB2312" w:eastAsia="仿宋_GB2312" w:cs="仿宋_GB2312"/>
          <w:color w:val="000000"/>
          <w:sz w:val="32"/>
          <w:szCs w:val="32"/>
          <w:lang w:eastAsia="zh-CN"/>
        </w:rPr>
        <w:t>地区内</w:t>
      </w:r>
      <w:r>
        <w:rPr>
          <w:rFonts w:hint="eastAsia" w:ascii="仿宋_GB2312" w:hAnsi="仿宋_GB2312" w:eastAsia="仿宋_GB2312" w:cs="仿宋_GB2312"/>
          <w:color w:val="000000"/>
          <w:sz w:val="32"/>
          <w:szCs w:val="32"/>
        </w:rPr>
        <w:t>试点优质企业真实合规的新型国际贸易外汇收支业务</w:t>
      </w:r>
      <w:r>
        <w:rPr>
          <w:rFonts w:hint="eastAsia" w:ascii="仿宋_GB2312" w:hAnsi="仿宋_GB2312" w:eastAsia="仿宋_GB2312" w:cs="仿宋_GB2312"/>
          <w:color w:val="000000"/>
          <w:sz w:val="32"/>
          <w:szCs w:val="32"/>
          <w:lang w:eastAsia="zh-CN"/>
        </w:rPr>
        <w:t>（实施细则见附</w:t>
      </w:r>
      <w:r>
        <w:rPr>
          <w:rFonts w:hint="eastAsia" w:ascii="仿宋_GB2312" w:hAnsi="仿宋_GB2312" w:eastAsia="仿宋_GB2312" w:cs="仿宋_GB2312"/>
          <w:color w:val="000000"/>
          <w:sz w:val="32"/>
          <w:szCs w:val="32"/>
          <w:lang w:val="en-US" w:eastAsia="zh-CN"/>
        </w:rPr>
        <w:t>1）。</w:t>
      </w:r>
    </w:p>
    <w:p>
      <w:pPr>
        <w:pStyle w:val="7"/>
        <w:keepNext w:val="0"/>
        <w:keepLines w:val="0"/>
        <w:widowControl/>
        <w:suppressLineNumbers w:val="0"/>
        <w:ind w:lef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（三）</w:t>
      </w:r>
      <w:r>
        <w:rPr>
          <w:rFonts w:hint="eastAsia" w:ascii="仿宋_GB2312" w:hAnsi="仿宋_GB2312" w:eastAsia="仿宋_GB2312" w:cs="仿宋_GB2312"/>
          <w:b/>
          <w:bCs/>
          <w:color w:val="000000"/>
          <w:sz w:val="32"/>
          <w:szCs w:val="32"/>
        </w:rPr>
        <w:t>扩大贸易收支轧差净额结算范围。</w:t>
      </w:r>
      <w:r>
        <w:rPr>
          <w:rFonts w:hint="eastAsia" w:ascii="仿宋_GB2312" w:hAnsi="仿宋_GB2312" w:eastAsia="仿宋_GB2312" w:cs="仿宋_GB2312"/>
          <w:color w:val="000000"/>
          <w:sz w:val="32"/>
          <w:szCs w:val="32"/>
          <w:highlight w:val="none"/>
          <w:lang w:eastAsia="zh-CN"/>
        </w:rPr>
        <w:t>两地区</w:t>
      </w:r>
      <w:r>
        <w:rPr>
          <w:rFonts w:hint="eastAsia" w:ascii="仿宋_GB2312" w:hAnsi="仿宋_GB2312" w:eastAsia="仿宋_GB2312" w:cs="仿宋_GB2312"/>
          <w:color w:val="000000"/>
          <w:sz w:val="32"/>
          <w:szCs w:val="32"/>
        </w:rPr>
        <w:t>优质企业与同一境外交易对手开展特定经常项目外汇业务时，</w:t>
      </w:r>
      <w:r>
        <w:rPr>
          <w:rFonts w:hint="eastAsia" w:ascii="仿宋_GB2312" w:hAnsi="仿宋_GB2312" w:eastAsia="仿宋_GB2312" w:cs="仿宋_GB2312"/>
          <w:color w:val="000000"/>
          <w:sz w:val="32"/>
          <w:szCs w:val="32"/>
          <w:highlight w:val="none"/>
          <w:lang w:eastAsia="zh-CN"/>
        </w:rPr>
        <w:t>两地区内</w:t>
      </w:r>
      <w:r>
        <w:rPr>
          <w:rFonts w:hint="eastAsia" w:ascii="仿宋_GB2312" w:hAnsi="仿宋_GB2312" w:eastAsia="仿宋_GB2312" w:cs="仿宋_GB2312"/>
          <w:color w:val="000000"/>
          <w:sz w:val="32"/>
          <w:szCs w:val="32"/>
        </w:rPr>
        <w:t>审慎合规银行在确保风险可控的情形下可为优质企业办理轧差净额结算</w:t>
      </w:r>
      <w:r>
        <w:rPr>
          <w:rFonts w:hint="eastAsia" w:ascii="仿宋_GB2312" w:hAnsi="仿宋_GB2312" w:eastAsia="仿宋_GB2312" w:cs="仿宋_GB2312"/>
          <w:color w:val="000000"/>
          <w:sz w:val="32"/>
          <w:szCs w:val="32"/>
          <w:lang w:eastAsia="zh-CN"/>
        </w:rPr>
        <w:t>（实施细则见附</w:t>
      </w:r>
      <w:r>
        <w:rPr>
          <w:rFonts w:hint="eastAsia" w:ascii="仿宋_GB2312" w:hAnsi="仿宋_GB2312" w:eastAsia="仿宋_GB2312" w:cs="仿宋_GB2312"/>
          <w:color w:val="000000"/>
          <w:sz w:val="32"/>
          <w:szCs w:val="32"/>
          <w:lang w:val="en-US" w:eastAsia="zh-CN"/>
        </w:rPr>
        <w:t>1）。</w:t>
      </w:r>
    </w:p>
    <w:p>
      <w:pPr>
        <w:pStyle w:val="7"/>
        <w:keepNext w:val="0"/>
        <w:keepLines w:val="0"/>
        <w:widowControl/>
        <w:suppressLineNumbers w:val="0"/>
        <w:ind w:lef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（四）</w:t>
      </w:r>
      <w:r>
        <w:rPr>
          <w:rFonts w:hint="eastAsia" w:ascii="仿宋_GB2312" w:hAnsi="仿宋_GB2312" w:eastAsia="仿宋_GB2312" w:cs="仿宋_GB2312"/>
          <w:b/>
          <w:bCs/>
          <w:color w:val="000000"/>
          <w:sz w:val="32"/>
          <w:szCs w:val="32"/>
        </w:rPr>
        <w:t>货物贸易超期限等特殊退汇免于登记。</w:t>
      </w:r>
      <w:r>
        <w:rPr>
          <w:rFonts w:hint="eastAsia" w:ascii="仿宋_GB2312" w:hAnsi="仿宋_GB2312" w:eastAsia="仿宋_GB2312" w:cs="仿宋_GB2312"/>
          <w:color w:val="000000"/>
          <w:sz w:val="32"/>
          <w:szCs w:val="32"/>
          <w:highlight w:val="none"/>
          <w:lang w:eastAsia="zh-CN"/>
        </w:rPr>
        <w:t>两地区</w:t>
      </w:r>
      <w:r>
        <w:rPr>
          <w:rFonts w:hint="eastAsia" w:ascii="仿宋_GB2312" w:hAnsi="仿宋_GB2312" w:eastAsia="仿宋_GB2312" w:cs="仿宋_GB2312"/>
          <w:color w:val="000000"/>
          <w:sz w:val="32"/>
          <w:szCs w:val="32"/>
        </w:rPr>
        <w:t>审慎合规银行可直接为</w:t>
      </w:r>
      <w:r>
        <w:rPr>
          <w:rFonts w:hint="eastAsia" w:ascii="仿宋_GB2312" w:hAnsi="仿宋_GB2312" w:eastAsia="仿宋_GB2312" w:cs="仿宋_GB2312"/>
          <w:color w:val="000000"/>
          <w:sz w:val="32"/>
          <w:szCs w:val="32"/>
          <w:lang w:eastAsia="zh-CN"/>
        </w:rPr>
        <w:t>地区内</w:t>
      </w:r>
      <w:r>
        <w:rPr>
          <w:rFonts w:hint="eastAsia" w:ascii="仿宋_GB2312" w:hAnsi="仿宋_GB2312" w:eastAsia="仿宋_GB2312" w:cs="仿宋_GB2312"/>
          <w:color w:val="000000"/>
          <w:sz w:val="32"/>
          <w:szCs w:val="32"/>
        </w:rPr>
        <w:t>试点优质企业办理货物贸易特殊退汇业务，企业无须事前在外汇局登记</w:t>
      </w:r>
      <w:r>
        <w:rPr>
          <w:rFonts w:hint="eastAsia" w:ascii="仿宋_GB2312" w:hAnsi="仿宋_GB2312" w:eastAsia="仿宋_GB2312" w:cs="仿宋_GB2312"/>
          <w:color w:val="000000"/>
          <w:sz w:val="32"/>
          <w:szCs w:val="32"/>
          <w:lang w:eastAsia="zh-CN"/>
        </w:rPr>
        <w:t>（实施细则见附</w:t>
      </w:r>
      <w:r>
        <w:rPr>
          <w:rFonts w:hint="eastAsia" w:ascii="仿宋_GB2312" w:hAnsi="仿宋_GB2312" w:eastAsia="仿宋_GB2312" w:cs="仿宋_GB2312"/>
          <w:color w:val="000000"/>
          <w:sz w:val="32"/>
          <w:szCs w:val="32"/>
          <w:lang w:val="en-US" w:eastAsia="zh-CN"/>
        </w:rPr>
        <w:t>1）。</w:t>
      </w:r>
    </w:p>
    <w:p>
      <w:pPr>
        <w:pStyle w:val="7"/>
        <w:keepNext w:val="0"/>
        <w:keepLines w:val="0"/>
        <w:widowControl/>
        <w:suppressLineNumbers w:val="0"/>
        <w:ind w:left="0" w:firstLine="640"/>
        <w:jc w:val="both"/>
        <w:rPr>
          <w:rFonts w:hint="eastAsia" w:ascii="黑体" w:hAnsi="黑体" w:eastAsia="黑体" w:cs="黑体"/>
          <w:b w:val="0"/>
          <w:bCs w:val="0"/>
          <w:color w:val="000000"/>
          <w:sz w:val="32"/>
          <w:szCs w:val="32"/>
          <w:lang w:eastAsia="zh-CN"/>
        </w:rPr>
      </w:pPr>
      <w:r>
        <w:rPr>
          <w:rFonts w:hint="eastAsia" w:ascii="仿宋_GB2312" w:hAnsi="仿宋_GB2312" w:eastAsia="仿宋_GB2312" w:cs="仿宋_GB2312"/>
          <w:b/>
          <w:bCs/>
          <w:color w:val="000000"/>
          <w:sz w:val="32"/>
          <w:szCs w:val="32"/>
          <w:lang w:val="en-US" w:eastAsia="zh-CN"/>
        </w:rPr>
        <w:t>（五）</w:t>
      </w:r>
      <w:r>
        <w:rPr>
          <w:rFonts w:hint="eastAsia" w:ascii="仿宋_GB2312" w:hAnsi="仿宋_GB2312" w:eastAsia="仿宋_GB2312" w:cs="仿宋_GB2312"/>
          <w:b/>
          <w:bCs/>
          <w:color w:val="000000"/>
          <w:sz w:val="32"/>
          <w:szCs w:val="32"/>
        </w:rPr>
        <w:t>优化服务贸易项下代垫或分摊业务管理。</w:t>
      </w:r>
      <w:r>
        <w:rPr>
          <w:rFonts w:hint="eastAsia" w:ascii="仿宋_GB2312" w:hAnsi="仿宋_GB2312" w:eastAsia="仿宋_GB2312" w:cs="仿宋_GB2312"/>
          <w:color w:val="000000"/>
          <w:sz w:val="32"/>
          <w:szCs w:val="32"/>
          <w:highlight w:val="none"/>
          <w:lang w:eastAsia="zh-CN"/>
        </w:rPr>
        <w:t>两地区内</w:t>
      </w:r>
      <w:r>
        <w:rPr>
          <w:rFonts w:hint="eastAsia" w:ascii="仿宋_GB2312" w:hAnsi="仿宋_GB2312" w:eastAsia="仿宋_GB2312" w:cs="仿宋_GB2312"/>
          <w:color w:val="000000"/>
          <w:sz w:val="32"/>
          <w:szCs w:val="32"/>
        </w:rPr>
        <w:t>优质企业与其具有关联关系的境外机构间发生的超12个月服务贸易项下代垫或分摊业务，以及与非关联关系的境外机构间发生的服务贸易项下代垫或分摊业务，由</w:t>
      </w:r>
      <w:r>
        <w:rPr>
          <w:rFonts w:hint="eastAsia" w:ascii="仿宋_GB2312" w:hAnsi="仿宋_GB2312" w:eastAsia="仿宋_GB2312" w:cs="仿宋_GB2312"/>
          <w:color w:val="000000"/>
          <w:sz w:val="32"/>
          <w:szCs w:val="32"/>
          <w:highlight w:val="none"/>
          <w:lang w:eastAsia="zh-CN"/>
        </w:rPr>
        <w:t>地区内</w:t>
      </w:r>
      <w:r>
        <w:rPr>
          <w:rFonts w:hint="eastAsia" w:ascii="仿宋_GB2312" w:hAnsi="仿宋_GB2312" w:eastAsia="仿宋_GB2312" w:cs="仿宋_GB2312"/>
          <w:color w:val="000000"/>
          <w:sz w:val="32"/>
          <w:szCs w:val="32"/>
        </w:rPr>
        <w:t>审慎合规银行审核真实性、合理性后办理</w:t>
      </w:r>
      <w:r>
        <w:rPr>
          <w:rFonts w:hint="eastAsia" w:ascii="仿宋_GB2312" w:hAnsi="仿宋_GB2312" w:eastAsia="仿宋_GB2312" w:cs="仿宋_GB2312"/>
          <w:color w:val="000000"/>
          <w:sz w:val="32"/>
          <w:szCs w:val="32"/>
          <w:lang w:eastAsia="zh-CN"/>
        </w:rPr>
        <w:t>（实施细则见附</w:t>
      </w:r>
      <w:r>
        <w:rPr>
          <w:rFonts w:hint="eastAsia" w:ascii="仿宋_GB2312" w:hAnsi="仿宋_GB2312" w:eastAsia="仿宋_GB2312" w:cs="仿宋_GB2312"/>
          <w:color w:val="000000"/>
          <w:sz w:val="32"/>
          <w:szCs w:val="32"/>
          <w:lang w:val="en-US" w:eastAsia="zh-CN"/>
        </w:rPr>
        <w:t>1）。</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w:t>
      </w:r>
      <w:r>
        <w:rPr>
          <w:rFonts w:hint="eastAsia" w:ascii="黑体" w:hAnsi="黑体" w:eastAsia="黑体" w:cs="黑体"/>
          <w:color w:val="000000"/>
          <w:sz w:val="32"/>
          <w:szCs w:val="32"/>
          <w:lang w:eastAsia="zh-CN"/>
        </w:rPr>
        <w:t>在福建地区</w:t>
      </w:r>
      <w:r>
        <w:rPr>
          <w:rFonts w:hint="eastAsia" w:ascii="黑体" w:hAnsi="黑体" w:eastAsia="黑体" w:cs="黑体"/>
          <w:color w:val="000000"/>
          <w:sz w:val="32"/>
          <w:szCs w:val="32"/>
        </w:rPr>
        <w:t>（不含厦门，下同）</w:t>
      </w:r>
      <w:r>
        <w:rPr>
          <w:rFonts w:hint="eastAsia" w:ascii="黑体" w:hAnsi="黑体" w:eastAsia="黑体" w:cs="黑体"/>
          <w:color w:val="000000"/>
          <w:sz w:val="32"/>
          <w:szCs w:val="32"/>
          <w:lang w:eastAsia="zh-CN"/>
        </w:rPr>
        <w:t>开展跨境投资高水平开放试点，实施更加便利的资本项目外汇政策</w:t>
      </w:r>
      <w:r>
        <w:rPr>
          <w:rFonts w:hint="eastAsia" w:ascii="仿宋_GB2312" w:hAnsi="仿宋_GB2312" w:eastAsia="仿宋_GB2312" w:cs="仿宋_GB2312"/>
          <w:color w:val="000000"/>
          <w:sz w:val="32"/>
          <w:szCs w:val="32"/>
          <w:lang w:eastAsia="zh-CN"/>
        </w:rPr>
        <w:t>。</w:t>
      </w:r>
    </w:p>
    <w:p>
      <w:pPr>
        <w:pStyle w:val="7"/>
        <w:keepNext w:val="0"/>
        <w:keepLines w:val="0"/>
        <w:widowControl/>
        <w:suppressLineNumbers w:val="0"/>
        <w:ind w:left="0" w:firstLine="640"/>
        <w:jc w:val="both"/>
        <w:rPr>
          <w:rFonts w:hint="eastAsia" w:ascii="仿宋_GB2312" w:hAnsi="仿宋_GB2312" w:eastAsia="仿宋_GB2312" w:cs="仿宋_GB2312"/>
          <w:sz w:val="32"/>
          <w:szCs w:val="32"/>
          <w:lang w:val="en-US" w:eastAsia="zh-CN"/>
        </w:rPr>
      </w:pPr>
      <w:r>
        <w:rPr>
          <w:rFonts w:hint="eastAsia" w:ascii="仿宋" w:hAnsi="仿宋" w:eastAsia="仿宋" w:cs="仿宋"/>
          <w:b/>
          <w:bCs/>
          <w:color w:val="000000"/>
          <w:sz w:val="32"/>
          <w:szCs w:val="32"/>
          <w:lang w:val="en-US" w:eastAsia="zh-CN"/>
        </w:rPr>
        <w:t>（一）</w:t>
      </w:r>
      <w:r>
        <w:rPr>
          <w:rFonts w:hint="eastAsia" w:ascii="仿宋" w:hAnsi="仿宋" w:eastAsia="仿宋" w:cs="仿宋"/>
          <w:b/>
          <w:bCs/>
          <w:color w:val="000000"/>
          <w:sz w:val="32"/>
          <w:szCs w:val="32"/>
        </w:rPr>
        <w:t>外商投资企业境内再投资免予登记。</w:t>
      </w:r>
      <w:r>
        <w:rPr>
          <w:rFonts w:hint="eastAsia" w:ascii="仿宋" w:hAnsi="仿宋" w:eastAsia="仿宋" w:cs="仿宋"/>
          <w:b w:val="0"/>
          <w:bCs/>
          <w:color w:val="auto"/>
          <w:sz w:val="32"/>
          <w:szCs w:val="32"/>
          <w:u w:val="none" w:color="auto"/>
          <w:lang w:val="en-US" w:eastAsia="zh-CN"/>
        </w:rPr>
        <w:t>外商</w:t>
      </w:r>
      <w:r>
        <w:rPr>
          <w:rFonts w:hint="eastAsia" w:ascii="仿宋_GB2312" w:hAnsi="仿宋_GB2312" w:eastAsia="仿宋_GB2312" w:cs="仿宋_GB2312"/>
          <w:b w:val="0"/>
          <w:bCs/>
          <w:color w:val="auto"/>
          <w:sz w:val="32"/>
          <w:szCs w:val="32"/>
          <w:u w:val="none" w:color="auto"/>
          <w:lang w:val="en-US" w:eastAsia="zh-CN"/>
        </w:rPr>
        <w:t>投资企业开展境内再投资业务时，注册在福建地区的被投资企业或股权出让方，无需办理接收境内再投资登记手续（实施细则见附2）。</w:t>
      </w:r>
    </w:p>
    <w:p>
      <w:pPr>
        <w:pStyle w:val="7"/>
        <w:keepNext w:val="0"/>
        <w:keepLines w:val="0"/>
        <w:widowControl/>
        <w:suppressLineNumbers w:val="0"/>
        <w:ind w:left="0" w:firstLine="640"/>
        <w:jc w:val="both"/>
        <w:rPr>
          <w:rFonts w:hint="eastAsia" w:ascii="仿宋_GB2312" w:hAnsi="仿宋_GB2312" w:eastAsia="仿宋_GB2312" w:cs="仿宋_GB2312"/>
          <w:sz w:val="32"/>
          <w:szCs w:val="32"/>
          <w:lang w:val="en-US" w:eastAsia="zh-CN"/>
        </w:rPr>
      </w:pP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部分资本项目外汇登记由银行直接办理。</w:t>
      </w:r>
      <w:r>
        <w:rPr>
          <w:rFonts w:hint="eastAsia" w:ascii="仿宋_GB2312" w:hAnsi="仿宋_GB2312" w:eastAsia="仿宋_GB2312" w:cs="仿宋_GB2312"/>
          <w:b w:val="0"/>
          <w:bCs/>
          <w:color w:val="auto"/>
          <w:sz w:val="32"/>
          <w:szCs w:val="32"/>
          <w:u w:val="none" w:color="auto"/>
          <w:lang w:val="en-US" w:eastAsia="zh-CN"/>
        </w:rPr>
        <w:t>福建地区符合条件的非金融企业借用外债、赴境外上市，可直接在银行办理相关登记手续（实施细则见附3、附4）。</w:t>
      </w:r>
    </w:p>
    <w:p>
      <w:pPr>
        <w:pStyle w:val="7"/>
        <w:keepNext w:val="0"/>
        <w:keepLines w:val="0"/>
        <w:widowControl/>
        <w:suppressLineNumbers w:val="0"/>
        <w:ind w:left="0" w:firstLine="640"/>
        <w:jc w:val="both"/>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lang w:eastAsia="zh-CN"/>
        </w:rPr>
        <w:t>三、其他注意事项</w:t>
      </w:r>
    </w:p>
    <w:p>
      <w:pPr>
        <w:pStyle w:val="7"/>
        <w:keepNext w:val="0"/>
        <w:keepLines w:val="0"/>
        <w:widowControl/>
        <w:suppressLineNumbers w:val="0"/>
        <w:ind w:lef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1.《国家外汇管理局福建省分局关于开展优质企业贸易外汇收支便利化试点的指导意见》（闽汇〔2022〕29号，简称29号文）自2024年8月1日起停止在福州、泉州执行，两地区已参加优质企业贸易外汇收支便利化试点的银行在未收到福建分局出具的高水平试点备案文件前，可继续按照29号文为试点企业办理相关业务；在收到福建分局出具的高水平试点备案文件后，正式按本通知及附1办理相关业务。</w:t>
      </w:r>
    </w:p>
    <w:p>
      <w:pPr>
        <w:pStyle w:val="7"/>
        <w:keepNext w:val="0"/>
        <w:keepLines w:val="0"/>
        <w:widowControl/>
        <w:suppressLineNumbers w:val="0"/>
        <w:ind w:lef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2.实施财务集中管理的集团型企业申请参加跨境贸易高水平开放试点，应由一家在福州、泉州地区注册的成员企业向两地区内审慎合规银行统一申请，集团内其他成员企业可不在两地区注册。</w:t>
      </w:r>
    </w:p>
    <w:p>
      <w:pPr>
        <w:pStyle w:val="7"/>
        <w:keepNext w:val="0"/>
        <w:keepLines w:val="0"/>
        <w:widowControl/>
        <w:suppressLineNumbers w:val="0"/>
        <w:ind w:left="0" w:firstLine="640"/>
        <w:jc w:val="both"/>
        <w:rPr>
          <w:sz w:val="32"/>
          <w:szCs w:val="32"/>
        </w:rPr>
      </w:pPr>
      <w:r>
        <w:rPr>
          <w:rFonts w:hint="eastAsia" w:ascii="仿宋_GB2312" w:hAnsi="仿宋_GB2312" w:eastAsia="仿宋_GB2312" w:cs="仿宋_GB2312"/>
          <w:color w:val="000000"/>
          <w:sz w:val="32"/>
          <w:szCs w:val="32"/>
        </w:rPr>
        <w:t>本通知自发布之日起实施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执行中如遇问题，请及时向</w:t>
      </w:r>
      <w:r>
        <w:rPr>
          <w:rFonts w:hint="eastAsia" w:ascii="仿宋_GB2312" w:hAnsi="仿宋_GB2312" w:eastAsia="仿宋_GB2312" w:cs="仿宋_GB2312"/>
          <w:color w:val="000000"/>
          <w:sz w:val="32"/>
          <w:szCs w:val="32"/>
          <w:lang w:eastAsia="zh-CN"/>
        </w:rPr>
        <w:t>福建省分局</w:t>
      </w:r>
      <w:r>
        <w:rPr>
          <w:rFonts w:hint="eastAsia" w:ascii="仿宋_GB2312" w:hAnsi="仿宋_GB2312" w:eastAsia="仿宋_GB2312" w:cs="仿宋_GB2312"/>
          <w:color w:val="000000"/>
          <w:sz w:val="32"/>
          <w:szCs w:val="32"/>
        </w:rPr>
        <w:t>反馈。</w:t>
      </w:r>
    </w:p>
    <w:p>
      <w:pPr>
        <w:pStyle w:val="7"/>
        <w:keepNext w:val="0"/>
        <w:keepLines w:val="0"/>
        <w:widowControl/>
        <w:suppressLineNumbers w:val="0"/>
        <w:ind w:left="0" w:firstLine="640"/>
        <w:rPr>
          <w:rFonts w:hint="eastAsia" w:ascii="仿宋_GB2312" w:eastAsia="仿宋_GB2312" w:cs="仿宋_GB2312"/>
          <w:color w:val="000000"/>
          <w:sz w:val="32"/>
          <w:szCs w:val="32"/>
        </w:rPr>
      </w:pPr>
    </w:p>
    <w:p>
      <w:pPr>
        <w:pStyle w:val="7"/>
        <w:keepNext w:val="0"/>
        <w:keepLines w:val="0"/>
        <w:widowControl/>
        <w:suppressLineNumbers w:val="0"/>
        <w:ind w:left="0" w:firstLine="640"/>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eastAsia="zh-CN"/>
        </w:rPr>
        <w:t>附：</w:t>
      </w:r>
      <w:r>
        <w:rPr>
          <w:rFonts w:hint="eastAsia" w:ascii="仿宋_GB2312" w:eastAsia="仿宋_GB2312" w:cs="仿宋_GB2312"/>
          <w:color w:val="000000"/>
          <w:sz w:val="32"/>
          <w:szCs w:val="32"/>
          <w:lang w:val="en-US" w:eastAsia="zh-CN"/>
        </w:rPr>
        <w:t>1.国家外汇管理局福建省分局跨境贸易高水平开放实施细则</w:t>
      </w:r>
    </w:p>
    <w:p>
      <w:pPr>
        <w:pStyle w:val="7"/>
        <w:keepNext w:val="0"/>
        <w:keepLines w:val="0"/>
        <w:widowControl/>
        <w:suppressLineNumbers w:val="0"/>
        <w:ind w:left="0" w:firstLine="1292" w:firstLineChars="404"/>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2.接收境内再投资免登记试点业务实施细则</w:t>
      </w:r>
    </w:p>
    <w:p>
      <w:pPr>
        <w:pStyle w:val="7"/>
        <w:keepNext w:val="0"/>
        <w:keepLines w:val="0"/>
        <w:widowControl/>
        <w:suppressLineNumbers w:val="0"/>
        <w:ind w:left="0" w:firstLine="1292" w:firstLineChars="404"/>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3.银行办理非金融企业外债签约（变更）登记业务实施细则</w:t>
      </w:r>
    </w:p>
    <w:p>
      <w:pPr>
        <w:pStyle w:val="7"/>
        <w:keepNext w:val="0"/>
        <w:keepLines w:val="0"/>
        <w:widowControl/>
        <w:suppressLineNumbers w:val="0"/>
        <w:ind w:left="0" w:firstLine="1292" w:firstLineChars="404"/>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4.银行办理境内公司境外上市登记及变更、注销登记业务实施细则</w:t>
      </w:r>
    </w:p>
    <w:p>
      <w:pPr>
        <w:pStyle w:val="7"/>
        <w:keepNext w:val="0"/>
        <w:keepLines w:val="0"/>
        <w:widowControl/>
        <w:suppressLineNumbers w:val="0"/>
        <w:ind w:left="0" w:firstLine="1609" w:firstLineChars="503"/>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国家外汇管理局福建省分局</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  月  日</w:t>
      </w:r>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
      <w:pPr>
        <w:widowControl/>
        <w:autoSpaceDN w:val="0"/>
        <w:snapToGrid w:val="0"/>
        <w:spacing w:line="360" w:lineRule="auto"/>
        <w:ind w:right="460"/>
        <w:jc w:val="left"/>
        <w:rPr>
          <w:rFonts w:hint="eastAsia" w:ascii="方正小标宋_GBK" w:hAnsi="方正小标宋_GBK" w:eastAsia="方正小标宋_GBK" w:cs="方正小标宋_GBK"/>
          <w:b w:val="0"/>
          <w:bCs w:val="0"/>
          <w:color w:val="000000"/>
          <w:kern w:val="0"/>
          <w:sz w:val="44"/>
          <w:szCs w:val="44"/>
        </w:rPr>
      </w:pPr>
      <w:r>
        <w:rPr>
          <w:rFonts w:hint="eastAsia" w:ascii="黑体" w:hAnsi="黑体" w:eastAsia="黑体" w:cs="黑体"/>
          <w:b w:val="0"/>
          <w:bCs w:val="0"/>
          <w:kern w:val="0"/>
          <w:sz w:val="32"/>
          <w:szCs w:val="32"/>
        </w:rPr>
        <w:t>附</w:t>
      </w:r>
      <w:r>
        <w:rPr>
          <w:rFonts w:hint="eastAsia" w:ascii="黑体" w:hAnsi="黑体" w:eastAsia="黑体" w:cs="黑体"/>
          <w:b w:val="0"/>
          <w:bCs w:val="0"/>
          <w:kern w:val="0"/>
          <w:sz w:val="32"/>
          <w:szCs w:val="32"/>
          <w:lang w:val="en-US" w:eastAsia="zh-CN"/>
        </w:rPr>
        <w:t>1</w:t>
      </w:r>
      <w:r>
        <w:rPr>
          <w:rFonts w:hint="eastAsia" w:ascii="方正小标宋_GBK" w:hAnsi="方正小标宋_GBK" w:eastAsia="方正小标宋_GBK" w:cs="方正小标宋_GBK"/>
          <w:b w:val="0"/>
          <w:bCs w:val="0"/>
          <w:color w:val="000000"/>
          <w:kern w:val="0"/>
          <w:sz w:val="44"/>
          <w:szCs w:val="44"/>
        </w:rPr>
        <w:t xml:space="preserve"> </w:t>
      </w:r>
    </w:p>
    <w:p>
      <w:pPr>
        <w:keepNext w:val="0"/>
        <w:keepLines w:val="0"/>
        <w:pageBreakBefore w:val="0"/>
        <w:widowControl w:val="0"/>
        <w:kinsoku/>
        <w:wordWrap/>
        <w:autoSpaceDE/>
        <w:autoSpaceDN/>
        <w:snapToGrid/>
        <w:spacing w:before="0" w:beforeLines="0" w:beforeAutospacing="0" w:after="0" w:afterLines="0" w:afterAutospacing="0" w:line="578" w:lineRule="exact"/>
        <w:ind w:left="0" w:leftChars="0" w:right="0" w:firstLine="0" w:firstLineChars="0"/>
        <w:jc w:val="center"/>
        <w:textAlignment w:val="baseline"/>
        <w:rPr>
          <w:rFonts w:hint="default" w:ascii="Times New Roman" w:hAnsi="Times New Roman" w:eastAsia="黑体" w:cs="Times New Roman"/>
          <w:color w:val="auto"/>
          <w:kern w:val="2"/>
          <w:sz w:val="36"/>
          <w:szCs w:val="36"/>
          <w:lang w:val="en-US" w:eastAsia="zh-CN"/>
        </w:rPr>
      </w:pPr>
      <w:r>
        <w:rPr>
          <w:rFonts w:hint="default" w:ascii="Times New Roman" w:hAnsi="Times New Roman" w:eastAsia="黑体" w:cs="Times New Roman"/>
          <w:color w:val="auto"/>
          <w:kern w:val="2"/>
          <w:sz w:val="36"/>
          <w:szCs w:val="36"/>
          <w:lang w:val="en-US" w:eastAsia="zh-CN"/>
        </w:rPr>
        <w:t>国家外汇管理局福建省分局</w:t>
      </w:r>
    </w:p>
    <w:p>
      <w:pPr>
        <w:keepNext w:val="0"/>
        <w:keepLines w:val="0"/>
        <w:pageBreakBefore w:val="0"/>
        <w:widowControl w:val="0"/>
        <w:kinsoku/>
        <w:wordWrap/>
        <w:autoSpaceDE/>
        <w:autoSpaceDN/>
        <w:snapToGrid/>
        <w:spacing w:before="0" w:beforeLines="0" w:beforeAutospacing="0" w:after="0" w:afterLines="0" w:afterAutospacing="0" w:line="578" w:lineRule="exact"/>
        <w:ind w:left="0" w:leftChars="0" w:right="0" w:firstLine="0" w:firstLineChars="0"/>
        <w:jc w:val="center"/>
        <w:textAlignment w:val="baseline"/>
        <w:rPr>
          <w:rFonts w:hint="default" w:ascii="Times New Roman" w:hAnsi="Times New Roman" w:eastAsia="黑体" w:cs="Times New Roman"/>
          <w:color w:val="auto"/>
          <w:kern w:val="2"/>
          <w:sz w:val="36"/>
          <w:szCs w:val="36"/>
          <w:lang w:val="en-US" w:eastAsia="zh-CN"/>
        </w:rPr>
      </w:pPr>
      <w:r>
        <w:rPr>
          <w:rFonts w:hint="default" w:ascii="Times New Roman" w:hAnsi="Times New Roman" w:eastAsia="黑体" w:cs="Times New Roman"/>
          <w:color w:val="auto"/>
          <w:kern w:val="2"/>
          <w:sz w:val="36"/>
          <w:szCs w:val="36"/>
          <w:lang w:val="en-US" w:eastAsia="zh-CN"/>
        </w:rPr>
        <w:t>跨境贸易高水平开放实施细则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p>
    <w:p>
      <w:pPr>
        <w:spacing w:line="640" w:lineRule="exact"/>
        <w:jc w:val="center"/>
        <w:rPr>
          <w:rFonts w:hint="eastAsia" w:ascii="仿宋_GB2312" w:eastAsia="仿宋_GB2312"/>
          <w:color w:val="000000"/>
          <w:sz w:val="32"/>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bCs w:val="0"/>
          <w:sz w:val="32"/>
          <w:szCs w:val="32"/>
        </w:rPr>
        <w:t>第一条</w:t>
      </w:r>
      <w:r>
        <w:rPr>
          <w:rFonts w:hint="default" w:ascii="Times New Roman" w:hAnsi="Times New Roman" w:eastAsia="仿宋_GB2312" w:cs="Times New Roman"/>
          <w:bCs/>
          <w:sz w:val="32"/>
          <w:szCs w:val="32"/>
        </w:rPr>
        <w:t xml:space="preserve"> 为加快构建新发展格局、着力推动高质量发展，进一步提升外汇管理服务实体经济能力，根据《中华人民共和国外汇管理条例》等相关规定，制定本实施细则。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bCs/>
          <w:sz w:val="32"/>
          <w:szCs w:val="32"/>
        </w:rPr>
        <w:t xml:space="preserve"> 符合条件的</w:t>
      </w:r>
      <w:r>
        <w:rPr>
          <w:rFonts w:hint="eastAsia" w:ascii="Times New Roman" w:hAnsi="Times New Roman" w:eastAsia="仿宋_GB2312" w:cs="Times New Roman"/>
          <w:bCs/>
          <w:sz w:val="32"/>
          <w:szCs w:val="32"/>
          <w:lang w:eastAsia="zh-CN"/>
        </w:rPr>
        <w:t>试点地区</w:t>
      </w:r>
      <w:r>
        <w:rPr>
          <w:rFonts w:hint="default" w:ascii="Times New Roman" w:hAnsi="Times New Roman" w:eastAsia="仿宋_GB2312" w:cs="Times New Roman"/>
          <w:bCs/>
          <w:sz w:val="32"/>
          <w:szCs w:val="32"/>
        </w:rPr>
        <w:t>审慎合规银行（以下简称审慎合规银行），及审慎合规银行确定的</w:t>
      </w:r>
      <w:r>
        <w:rPr>
          <w:rFonts w:hint="eastAsia" w:ascii="Times New Roman" w:hAnsi="Times New Roman" w:eastAsia="仿宋_GB2312" w:cs="Times New Roman"/>
          <w:bCs/>
          <w:sz w:val="32"/>
          <w:szCs w:val="32"/>
          <w:lang w:eastAsia="zh-CN"/>
        </w:rPr>
        <w:t>试点地区</w:t>
      </w:r>
      <w:r>
        <w:rPr>
          <w:rFonts w:hint="default" w:ascii="Times New Roman" w:hAnsi="Times New Roman" w:eastAsia="仿宋_GB2312" w:cs="Times New Roman"/>
          <w:bCs/>
          <w:sz w:val="32"/>
          <w:szCs w:val="32"/>
        </w:rPr>
        <w:t>优质企业（以下简称优质企业），适用本实施细则规定的跨境贸易高水平开放便利化业务（以下简称便利化业务）。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第三条</w:t>
      </w:r>
      <w:r>
        <w:rPr>
          <w:rFonts w:hint="default" w:ascii="Times New Roman" w:hAnsi="Times New Roman" w:eastAsia="仿宋_GB2312" w:cs="Times New Roman"/>
          <w:bCs/>
          <w:sz w:val="32"/>
          <w:szCs w:val="32"/>
        </w:rPr>
        <w:t xml:space="preserve"> 优质企业经常项目外汇收支，应具有真实合法的交易基础。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审慎合规银行按照“了解客户、了解业务、尽职审查”等展业原则为优质企业办理经常项目外汇收支，履行反洗钱、反恐怖融资和反逃税义务，确认收支的真实性、合理性和逻辑性。</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bCs/>
          <w:sz w:val="32"/>
          <w:szCs w:val="32"/>
        </w:rPr>
        <w:t xml:space="preserve"> 银行开展便利化业务，应同时具备以下条件：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（一）在</w:t>
      </w:r>
      <w:r>
        <w:rPr>
          <w:rFonts w:hint="eastAsia" w:ascii="Times New Roman" w:hAnsi="Times New Roman" w:eastAsia="仿宋_GB2312" w:cs="Times New Roman"/>
          <w:bCs/>
          <w:sz w:val="32"/>
          <w:szCs w:val="32"/>
          <w:lang w:eastAsia="zh-CN"/>
        </w:rPr>
        <w:t>国家外汇管理局福建省分局（以下简称福建省分局）辖</w:t>
      </w:r>
      <w:r>
        <w:rPr>
          <w:rFonts w:hint="default" w:ascii="Times New Roman" w:hAnsi="Times New Roman" w:eastAsia="仿宋_GB2312" w:cs="Times New Roman"/>
          <w:bCs/>
          <w:sz w:val="32"/>
          <w:szCs w:val="32"/>
        </w:rPr>
        <w:t>内</w:t>
      </w:r>
      <w:r>
        <w:rPr>
          <w:rFonts w:hint="eastAsia" w:ascii="Times New Roman" w:hAnsi="Times New Roman" w:eastAsia="仿宋_GB2312" w:cs="Times New Roman"/>
          <w:bCs/>
          <w:sz w:val="32"/>
          <w:szCs w:val="32"/>
          <w:lang w:eastAsia="zh-CN"/>
        </w:rPr>
        <w:t>试点地区</w:t>
      </w:r>
      <w:r>
        <w:rPr>
          <w:rFonts w:hint="default" w:ascii="Times New Roman" w:hAnsi="Times New Roman" w:eastAsia="仿宋_GB2312" w:cs="Times New Roman"/>
          <w:bCs/>
          <w:sz w:val="32"/>
          <w:szCs w:val="32"/>
        </w:rPr>
        <w:t>注册经营的银行一级分行或地方性银行总行。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（二）具备真实的便利化业务需求，所推荐的优质企业符合本实施细则规定的条件。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（三）具备完善的便利化业务内控制度，包括但不限于职责分工、业务授权、优质企业客户准入退出、便利化业务实施规范、风险业务清单、统计监测、可疑交易预警与报告、应急管理、内部监督等方面。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（四）配备外汇业务合规专职岗位和熟悉外汇业务政策的从业人员。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外汇业务合规记录良好，近三年银行外汇业务合规与审慎经营评估原则上均在B（含）以上且至少两年为B+（含）以上。银行成立不满三年的，自成立以来外汇业务合规与审慎经营评估原则上均在B+（含）以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 xml:space="preserve">第五条 </w:t>
      </w:r>
      <w:r>
        <w:rPr>
          <w:rFonts w:hint="default" w:ascii="Times New Roman" w:hAnsi="Times New Roman" w:eastAsia="仿宋_GB2312" w:cs="Times New Roman"/>
          <w:bCs/>
          <w:sz w:val="32"/>
          <w:szCs w:val="32"/>
        </w:rPr>
        <w:t>审慎合规银行应基于客户自愿原则，通过充分的展业尽调确定本行优质企业名单。优质企业应具备以下条件：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（一）企业原则上在审慎合规银行持续办理经常项目外汇收支业务两年以上。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实施财务集中管理的集团型企业申请成为优质企业，应由一家在</w:t>
      </w:r>
      <w:r>
        <w:rPr>
          <w:rFonts w:hint="eastAsia" w:ascii="Times New Roman" w:hAnsi="Times New Roman" w:eastAsia="仿宋_GB2312" w:cs="Times New Roman"/>
          <w:bCs/>
          <w:sz w:val="32"/>
          <w:szCs w:val="32"/>
          <w:lang w:eastAsia="zh-CN"/>
        </w:rPr>
        <w:t>福建省分局辖内试点地区</w:t>
      </w:r>
      <w:r>
        <w:rPr>
          <w:rFonts w:hint="default" w:ascii="Times New Roman" w:hAnsi="Times New Roman" w:eastAsia="仿宋_GB2312" w:cs="Times New Roman"/>
          <w:bCs/>
          <w:sz w:val="32"/>
          <w:szCs w:val="32"/>
        </w:rPr>
        <w:t>注册的成员企业（以下简称主办企业）向审慎合规银行统一申请。主办企业原则上在审慎合规银行持续办理经常项目外汇收支业务两年以上；集团内其他成员企业</w:t>
      </w:r>
      <w:r>
        <w:rPr>
          <w:rFonts w:hint="default" w:eastAsia="仿宋_GB2312" w:cs="Times New Roman"/>
          <w:bCs/>
          <w:sz w:val="32"/>
          <w:szCs w:val="32"/>
        </w:rPr>
        <w:t>（含异地成员企业）</w:t>
      </w:r>
      <w:r>
        <w:rPr>
          <w:rFonts w:hint="default" w:ascii="Times New Roman" w:hAnsi="Times New Roman" w:eastAsia="仿宋_GB2312" w:cs="Times New Roman"/>
          <w:bCs/>
          <w:sz w:val="32"/>
          <w:szCs w:val="32"/>
        </w:rPr>
        <w:t>应纳入集团内部的财务集中管理</w:t>
      </w:r>
      <w:r>
        <w:rPr>
          <w:rFonts w:hint="eastAsia" w:ascii="Times New Roman" w:hAnsi="Times New Roman" w:eastAsia="仿宋_GB2312" w:cs="Times New Roman"/>
          <w:color w:val="auto"/>
          <w:sz w:val="32"/>
          <w:szCs w:val="32"/>
        </w:rPr>
        <w:t>但可不在</w:t>
      </w:r>
      <w:r>
        <w:rPr>
          <w:rFonts w:hint="default" w:eastAsia="仿宋_GB2312" w:cs="Times New Roman"/>
          <w:color w:val="auto"/>
          <w:sz w:val="32"/>
          <w:szCs w:val="32"/>
        </w:rPr>
        <w:t>审慎合规</w:t>
      </w:r>
      <w:r>
        <w:rPr>
          <w:rFonts w:hint="eastAsia" w:ascii="Times New Roman" w:hAnsi="Times New Roman" w:eastAsia="仿宋_GB2312" w:cs="Times New Roman"/>
          <w:color w:val="auto"/>
          <w:sz w:val="32"/>
          <w:szCs w:val="32"/>
        </w:rPr>
        <w:t>银行持续办理</w:t>
      </w:r>
      <w:r>
        <w:rPr>
          <w:rFonts w:hint="default" w:ascii="Times New Roman" w:hAnsi="Times New Roman" w:eastAsia="仿宋_GB2312" w:cs="Times New Roman"/>
          <w:color w:val="auto"/>
          <w:sz w:val="32"/>
          <w:szCs w:val="32"/>
        </w:rPr>
        <w:t>经常项目</w:t>
      </w:r>
      <w:r>
        <w:rPr>
          <w:rFonts w:hint="eastAsia" w:ascii="Times New Roman" w:hAnsi="Times New Roman" w:eastAsia="仿宋_GB2312" w:cs="Times New Roman"/>
          <w:color w:val="auto"/>
          <w:sz w:val="32"/>
          <w:szCs w:val="32"/>
        </w:rPr>
        <w:t>外汇收支业务两年以上</w:t>
      </w:r>
      <w:r>
        <w:rPr>
          <w:rFonts w:hint="eastAsia"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（二）企业诚实守信、合规经营情况</w:t>
      </w:r>
      <w:r>
        <w:rPr>
          <w:rFonts w:hint="default" w:eastAsia="仿宋_GB2312" w:cs="Times New Roman"/>
          <w:bCs/>
          <w:sz w:val="32"/>
          <w:szCs w:val="32"/>
        </w:rPr>
        <w:t>良</w:t>
      </w:r>
      <w:r>
        <w:rPr>
          <w:rFonts w:hint="default" w:ascii="Times New Roman" w:hAnsi="Times New Roman" w:eastAsia="仿宋_GB2312" w:cs="Times New Roman"/>
          <w:bCs/>
          <w:sz w:val="32"/>
          <w:szCs w:val="32"/>
        </w:rPr>
        <w:t>好</w:t>
      </w:r>
      <w:r>
        <w:rPr>
          <w:rFonts w:hint="default" w:eastAsia="仿宋_GB2312" w:cs="Times New Roman"/>
          <w:bCs/>
          <w:sz w:val="32"/>
          <w:szCs w:val="32"/>
        </w:rPr>
        <w:t>，</w:t>
      </w:r>
      <w:r>
        <w:rPr>
          <w:rFonts w:hint="default" w:ascii="Times New Roman" w:hAnsi="Times New Roman" w:eastAsia="仿宋_GB2312" w:cs="Times New Roman"/>
          <w:bCs/>
          <w:sz w:val="32"/>
          <w:szCs w:val="32"/>
        </w:rPr>
        <w:t>资金收付及贸易信贷、贸易融资符合其生产经营实际。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（三）近两年货物贸易外汇管理分类应持续为A类（如为货物贸易外汇收支名录内企业）且未被外汇局处罚。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（四）企业应配备专人对经常项目外汇收支业务进行监督评估，具备自证经常项目外汇收支及交易的真实性、逻辑性和合理性的能力，做到交易留痕。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（五）出于风险防范目的，审慎合规银行规定的其他条件。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bCs/>
          <w:sz w:val="32"/>
          <w:szCs w:val="32"/>
        </w:rPr>
        <w:t xml:space="preserve"> 符合条件的银行应在办理便利化业务前，向</w:t>
      </w:r>
      <w:r>
        <w:rPr>
          <w:rFonts w:hint="eastAsia" w:ascii="Times New Roman" w:hAnsi="Times New Roman" w:eastAsia="仿宋_GB2312" w:cs="Times New Roman"/>
          <w:bCs/>
          <w:sz w:val="32"/>
          <w:szCs w:val="32"/>
          <w:lang w:eastAsia="zh-CN"/>
        </w:rPr>
        <w:t>福建</w:t>
      </w:r>
      <w:r>
        <w:rPr>
          <w:rFonts w:hint="default" w:ascii="Times New Roman" w:hAnsi="Times New Roman" w:eastAsia="仿宋_GB2312" w:cs="Times New Roman"/>
          <w:bCs/>
          <w:sz w:val="32"/>
          <w:szCs w:val="32"/>
        </w:rPr>
        <w:t>省分局报备准备情况，包括但不限于自评情况、内控制度、优质企业名单等。</w:t>
      </w:r>
      <w:r>
        <w:rPr>
          <w:rFonts w:hint="default" w:ascii="Times New Roman" w:hAnsi="Times New Roman" w:eastAsia="仿宋_GB2312" w:cs="Times New Roman"/>
          <w:bCs/>
          <w:sz w:val="32"/>
          <w:szCs w:val="32"/>
          <w:highlight w:val="none"/>
        </w:rPr>
        <w:t>自收到完整备案材料之日起20个工作日内，对于符合条件的银行，以</w:t>
      </w:r>
      <w:r>
        <w:rPr>
          <w:rFonts w:hint="eastAsia" w:ascii="Times New Roman" w:hAnsi="Times New Roman" w:eastAsia="仿宋_GB2312" w:cs="Times New Roman"/>
          <w:bCs/>
          <w:sz w:val="32"/>
          <w:szCs w:val="32"/>
          <w:highlight w:val="none"/>
          <w:lang w:eastAsia="zh-CN"/>
        </w:rPr>
        <w:t>福建</w:t>
      </w:r>
      <w:r>
        <w:rPr>
          <w:rFonts w:hint="default" w:ascii="Times New Roman" w:hAnsi="Times New Roman" w:eastAsia="仿宋_GB2312" w:cs="Times New Roman"/>
          <w:bCs/>
          <w:sz w:val="32"/>
          <w:szCs w:val="32"/>
          <w:highlight w:val="none"/>
        </w:rPr>
        <w:t>省分局名义出具书面备案文件</w:t>
      </w:r>
      <w:r>
        <w:rPr>
          <w:rFonts w:hint="default" w:eastAsia="仿宋_GB2312" w:cs="Times New Roman"/>
          <w:bCs/>
          <w:sz w:val="32"/>
          <w:szCs w:val="32"/>
          <w:highlight w:val="none"/>
        </w:rPr>
        <w:t>。</w:t>
      </w:r>
      <w:r>
        <w:rPr>
          <w:rFonts w:hint="default" w:ascii="Times New Roman" w:hAnsi="Times New Roman" w:eastAsia="仿宋_GB2312" w:cs="Times New Roman"/>
          <w:bCs/>
          <w:sz w:val="32"/>
          <w:szCs w:val="32"/>
          <w:highlight w:val="none"/>
        </w:rPr>
        <w:t>银行</w:t>
      </w:r>
      <w:r>
        <w:rPr>
          <w:rFonts w:hint="default" w:eastAsia="仿宋_GB2312" w:cs="Times New Roman"/>
          <w:bCs/>
          <w:sz w:val="32"/>
          <w:szCs w:val="32"/>
          <w:highlight w:val="none"/>
        </w:rPr>
        <w:t>据此</w:t>
      </w:r>
      <w:r>
        <w:rPr>
          <w:rFonts w:hint="default" w:ascii="Times New Roman" w:hAnsi="Times New Roman" w:eastAsia="仿宋_GB2312" w:cs="Times New Roman"/>
          <w:bCs/>
          <w:sz w:val="32"/>
          <w:szCs w:val="32"/>
          <w:highlight w:val="none"/>
        </w:rPr>
        <w:t>开展便利化业务。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第七条</w:t>
      </w:r>
      <w:r>
        <w:rPr>
          <w:rFonts w:hint="default" w:ascii="Times New Roman" w:hAnsi="Times New Roman" w:eastAsia="仿宋_GB2312" w:cs="Times New Roman"/>
          <w:bCs/>
          <w:sz w:val="32"/>
          <w:szCs w:val="32"/>
        </w:rPr>
        <w:t xml:space="preserve"> 审慎合规银行变更</w:t>
      </w:r>
      <w:r>
        <w:rPr>
          <w:rFonts w:hint="default" w:eastAsia="仿宋_GB2312" w:cs="Times New Roman"/>
          <w:bCs/>
          <w:sz w:val="32"/>
          <w:szCs w:val="32"/>
        </w:rPr>
        <w:t>便利化业务范围的，应根据</w:t>
      </w:r>
      <w:r>
        <w:rPr>
          <w:rFonts w:hint="default" w:ascii="Times New Roman" w:hAnsi="Times New Roman" w:eastAsia="仿宋_GB2312" w:cs="Times New Roman"/>
          <w:bCs/>
          <w:sz w:val="32"/>
          <w:szCs w:val="32"/>
          <w:highlight w:val="none"/>
        </w:rPr>
        <w:t>本细则</w:t>
      </w:r>
      <w:r>
        <w:rPr>
          <w:rFonts w:hint="default" w:eastAsia="仿宋_GB2312" w:cs="Times New Roman"/>
          <w:bCs/>
          <w:sz w:val="32"/>
          <w:szCs w:val="32"/>
        </w:rPr>
        <w:t>第六条流程办理。审慎合规银行变更内控制度或</w:t>
      </w:r>
      <w:r>
        <w:rPr>
          <w:rFonts w:hint="default" w:ascii="Times New Roman" w:hAnsi="Times New Roman" w:eastAsia="仿宋_GB2312" w:cs="Times New Roman"/>
          <w:bCs/>
          <w:sz w:val="32"/>
          <w:szCs w:val="32"/>
        </w:rPr>
        <w:t>优质企业的，自变更之日起5个工作日内向</w:t>
      </w:r>
      <w:r>
        <w:rPr>
          <w:rFonts w:hint="eastAsia" w:ascii="Times New Roman" w:hAnsi="Times New Roman" w:eastAsia="仿宋_GB2312" w:cs="Times New Roman"/>
          <w:bCs/>
          <w:sz w:val="32"/>
          <w:szCs w:val="32"/>
          <w:lang w:eastAsia="zh-CN"/>
        </w:rPr>
        <w:t>福建</w:t>
      </w:r>
      <w:r>
        <w:rPr>
          <w:rFonts w:hint="default" w:ascii="Times New Roman" w:hAnsi="Times New Roman" w:eastAsia="仿宋_GB2312" w:cs="Times New Roman"/>
          <w:bCs/>
          <w:sz w:val="32"/>
          <w:szCs w:val="32"/>
        </w:rPr>
        <w:t>省分局报告。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bCs/>
          <w:sz w:val="32"/>
          <w:szCs w:val="32"/>
        </w:rPr>
        <w:t xml:space="preserve"> 审慎合规银行在尽职展业的基础上，</w:t>
      </w:r>
      <w:r>
        <w:rPr>
          <w:rFonts w:hint="default" w:eastAsia="仿宋_GB2312" w:cs="Times New Roman"/>
          <w:bCs/>
          <w:sz w:val="32"/>
          <w:szCs w:val="32"/>
        </w:rPr>
        <w:t>可</w:t>
      </w:r>
      <w:r>
        <w:rPr>
          <w:rFonts w:hint="default" w:ascii="Times New Roman" w:hAnsi="Times New Roman" w:eastAsia="仿宋_GB2312" w:cs="Times New Roman"/>
          <w:bCs/>
          <w:sz w:val="32"/>
          <w:szCs w:val="32"/>
        </w:rPr>
        <w:t>为本行优质企业</w:t>
      </w:r>
      <w:r>
        <w:rPr>
          <w:rFonts w:hint="default" w:eastAsia="仿宋_GB2312" w:cs="Times New Roman"/>
          <w:bCs/>
          <w:sz w:val="32"/>
          <w:szCs w:val="32"/>
        </w:rPr>
        <w:t>提供</w:t>
      </w:r>
      <w:r>
        <w:rPr>
          <w:rFonts w:hint="default" w:ascii="Times New Roman" w:hAnsi="Times New Roman" w:eastAsia="仿宋_GB2312" w:cs="Times New Roman"/>
          <w:bCs/>
          <w:sz w:val="32"/>
          <w:szCs w:val="32"/>
        </w:rPr>
        <w:t>以下便利化</w:t>
      </w:r>
      <w:r>
        <w:rPr>
          <w:rFonts w:hint="default" w:eastAsia="仿宋_GB2312" w:cs="Times New Roman"/>
          <w:bCs/>
          <w:sz w:val="32"/>
          <w:szCs w:val="32"/>
        </w:rPr>
        <w:t>业务</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便利经常项目外汇资金收付。审慎合规银行可按照“了解客户”“了解业务”“尽职审查”原则为优质企业办理经常项目外汇收支业务。对于单笔等值5万美元以上的服务贸易等项目外汇支出，可事后核验《服务贸易等项目对外支付税务备案表》。对于资金性质不明确的业务，</w:t>
      </w:r>
      <w:r>
        <w:rPr>
          <w:rFonts w:hint="default" w:eastAsia="仿宋_GB2312" w:cs="Times New Roman"/>
          <w:bCs/>
          <w:sz w:val="32"/>
          <w:szCs w:val="32"/>
        </w:rPr>
        <w:t>审慎合规</w:t>
      </w:r>
      <w:r>
        <w:rPr>
          <w:rFonts w:hint="default" w:ascii="Times New Roman" w:hAnsi="Times New Roman" w:eastAsia="仿宋_GB2312" w:cs="Times New Roman"/>
          <w:bCs/>
          <w:sz w:val="32"/>
          <w:szCs w:val="32"/>
        </w:rPr>
        <w:t>银行应要求企业提供相关单证。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rPr>
        <w:t>（二）优化新型国际贸易结算。审慎合规银行可依据区域战略定位和行业特色，创新金融服务，</w:t>
      </w:r>
      <w:r>
        <w:rPr>
          <w:rFonts w:hint="default" w:ascii="Times New Roman" w:hAnsi="Times New Roman" w:eastAsia="仿宋_GB2312" w:cs="Times New Roman"/>
          <w:bCs/>
          <w:sz w:val="32"/>
          <w:szCs w:val="32"/>
          <w:highlight w:val="none"/>
        </w:rPr>
        <w:t>自主办理优质企业真实合规的新型国际贸易外汇收支。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rPr>
        <w:t>（三）扩大贸易收支轧差净额结算范围。优质企业与同一境外交易对手开展经常项目外汇业务时，审慎合规银行</w:t>
      </w:r>
      <w:r>
        <w:rPr>
          <w:rFonts w:hint="default" w:eastAsia="仿宋_GB2312" w:cs="Times New Roman"/>
          <w:bCs/>
          <w:sz w:val="32"/>
          <w:szCs w:val="32"/>
        </w:rPr>
        <w:t>在风险可控的情形下</w:t>
      </w:r>
      <w:r>
        <w:rPr>
          <w:rFonts w:hint="default" w:ascii="Times New Roman" w:hAnsi="Times New Roman" w:eastAsia="仿宋_GB2312" w:cs="Times New Roman"/>
          <w:bCs/>
          <w:sz w:val="32"/>
          <w:szCs w:val="32"/>
        </w:rPr>
        <w:t>为优质企业办理以下情形的轧差净额结算，并按国际收支申报有关规定进行实际收付数据和还原数据申报。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1.境内外关联企业之间的一般贸易收支轧差净额结算；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2.货款与速遣费、滞期费的收支轧差净额结算；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3.销售货款与相关销售返利之间的收支轧差净额结算；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4.运费收支的轧差净额结算；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5.外汇局规定的其他情形。</w:t>
      </w:r>
    </w:p>
    <w:p>
      <w:pPr>
        <w:spacing w:line="240" w:lineRule="auto"/>
        <w:ind w:firstLine="640" w:firstLineChars="200"/>
        <w:rPr>
          <w:rFonts w:hint="default" w:eastAsia="仿宋_GB2312"/>
          <w:bCs/>
          <w:sz w:val="32"/>
          <w:szCs w:val="32"/>
          <w:highlight w:val="none"/>
        </w:rPr>
      </w:pPr>
      <w:r>
        <w:rPr>
          <w:rFonts w:hint="default" w:eastAsia="仿宋_GB2312" w:cs="Times New Roman"/>
          <w:bCs/>
          <w:sz w:val="32"/>
          <w:szCs w:val="32"/>
          <w:highlight w:val="none"/>
        </w:rPr>
        <w:t>开展</w:t>
      </w:r>
      <w:r>
        <w:rPr>
          <w:rFonts w:hint="default" w:ascii="Times New Roman" w:hAnsi="Times New Roman" w:eastAsia="仿宋_GB2312" w:cs="Times New Roman"/>
          <w:bCs/>
          <w:sz w:val="32"/>
          <w:szCs w:val="32"/>
          <w:highlight w:val="none"/>
        </w:rPr>
        <w:t>轧差净额结算的企业应合理安排轧差周期，及时结清应收应付款项，原则上每个季度轧差金额结算不少于1次。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（四）货物贸易超期限等特殊退汇业务免于事前登记。审慎合规银行可直接为优质企业办理退汇日期与原收、付款日期间隔在180天（不含）以上或由于特殊情况无法原路退回的货物贸易退汇业务，企业无须</w:t>
      </w:r>
      <w:r>
        <w:rPr>
          <w:rFonts w:hint="default" w:eastAsia="仿宋_GB2312" w:cs="Times New Roman"/>
          <w:bCs/>
          <w:sz w:val="32"/>
          <w:szCs w:val="32"/>
        </w:rPr>
        <w:t>就上述业务到</w:t>
      </w:r>
      <w:r>
        <w:rPr>
          <w:rFonts w:hint="default" w:ascii="Times New Roman" w:hAnsi="Times New Roman" w:eastAsia="仿宋_GB2312" w:cs="Times New Roman"/>
          <w:bCs/>
          <w:sz w:val="32"/>
          <w:szCs w:val="32"/>
        </w:rPr>
        <w:t>外汇局</w:t>
      </w:r>
      <w:r>
        <w:rPr>
          <w:rFonts w:hint="default" w:eastAsia="仿宋_GB2312" w:cs="Times New Roman"/>
          <w:bCs/>
          <w:sz w:val="32"/>
          <w:szCs w:val="32"/>
        </w:rPr>
        <w:t>办理事前</w:t>
      </w:r>
      <w:r>
        <w:rPr>
          <w:rFonts w:hint="default" w:ascii="Times New Roman" w:hAnsi="Times New Roman" w:eastAsia="仿宋_GB2312" w:cs="Times New Roman"/>
          <w:bCs/>
          <w:sz w:val="32"/>
          <w:szCs w:val="32"/>
        </w:rPr>
        <w:t>登记。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（五）优化服务贸易项下代垫或分摊业务管理。优质企业</w:t>
      </w:r>
      <w:r>
        <w:rPr>
          <w:rFonts w:hint="default" w:eastAsia="仿宋_GB2312" w:cs="Times New Roman"/>
          <w:bCs/>
          <w:sz w:val="32"/>
          <w:szCs w:val="32"/>
          <w:highlight w:val="none"/>
        </w:rPr>
        <w:t>与其</w:t>
      </w:r>
      <w:r>
        <w:rPr>
          <w:rFonts w:hint="default" w:ascii="Times New Roman" w:hAnsi="Times New Roman" w:eastAsia="仿宋_GB2312" w:cs="Times New Roman"/>
          <w:bCs/>
          <w:sz w:val="32"/>
          <w:szCs w:val="32"/>
          <w:highlight w:val="none"/>
        </w:rPr>
        <w:t>具有关联关系的境外机构间发生的超12个月的</w:t>
      </w:r>
      <w:r>
        <w:rPr>
          <w:rFonts w:hint="default" w:eastAsia="仿宋_GB2312" w:cs="Times New Roman"/>
          <w:bCs/>
          <w:sz w:val="32"/>
          <w:szCs w:val="32"/>
          <w:highlight w:val="none"/>
        </w:rPr>
        <w:t>服务贸易项下</w:t>
      </w:r>
      <w:r>
        <w:rPr>
          <w:rFonts w:hint="default" w:ascii="Times New Roman" w:hAnsi="Times New Roman" w:eastAsia="仿宋_GB2312" w:cs="Times New Roman"/>
          <w:bCs/>
          <w:sz w:val="32"/>
          <w:szCs w:val="32"/>
          <w:highlight w:val="none"/>
        </w:rPr>
        <w:t>代垫或分摊</w:t>
      </w:r>
      <w:r>
        <w:rPr>
          <w:rFonts w:hint="default" w:eastAsia="仿宋_GB2312" w:cs="Times New Roman"/>
          <w:bCs/>
          <w:sz w:val="32"/>
          <w:szCs w:val="32"/>
          <w:highlight w:val="none"/>
        </w:rPr>
        <w:t>业务</w:t>
      </w:r>
      <w:r>
        <w:rPr>
          <w:rFonts w:hint="default" w:ascii="Times New Roman" w:hAnsi="Times New Roman" w:eastAsia="仿宋_GB2312" w:cs="Times New Roman"/>
          <w:bCs/>
          <w:sz w:val="32"/>
          <w:szCs w:val="32"/>
          <w:highlight w:val="none"/>
        </w:rPr>
        <w:t>，以及</w:t>
      </w:r>
      <w:r>
        <w:rPr>
          <w:rFonts w:hint="default" w:eastAsia="仿宋_GB2312" w:cs="Times New Roman"/>
          <w:bCs/>
          <w:sz w:val="32"/>
          <w:szCs w:val="32"/>
          <w:highlight w:val="none"/>
        </w:rPr>
        <w:t>与</w:t>
      </w:r>
      <w:r>
        <w:rPr>
          <w:rFonts w:hint="default" w:ascii="Times New Roman" w:hAnsi="Times New Roman" w:eastAsia="仿宋_GB2312" w:cs="Times New Roman"/>
          <w:bCs/>
          <w:sz w:val="32"/>
          <w:szCs w:val="32"/>
          <w:highlight w:val="none"/>
        </w:rPr>
        <w:t>非关联关系的境外机构间发生的</w:t>
      </w:r>
      <w:r>
        <w:rPr>
          <w:rFonts w:hint="default" w:eastAsia="仿宋_GB2312" w:cs="Times New Roman"/>
          <w:bCs/>
          <w:sz w:val="32"/>
          <w:szCs w:val="32"/>
          <w:highlight w:val="none"/>
        </w:rPr>
        <w:t>服务贸易项下</w:t>
      </w:r>
      <w:r>
        <w:rPr>
          <w:rFonts w:hint="default" w:ascii="Times New Roman" w:hAnsi="Times New Roman" w:eastAsia="仿宋_GB2312" w:cs="Times New Roman"/>
          <w:bCs/>
          <w:sz w:val="32"/>
          <w:szCs w:val="32"/>
          <w:highlight w:val="none"/>
        </w:rPr>
        <w:t>代垫或分摊业务，由审慎合规银行审核真实性、合理性后办理。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w:t>
      </w:r>
      <w:r>
        <w:rPr>
          <w:rFonts w:hint="default" w:eastAsia="仿宋_GB2312" w:cs="Times New Roman"/>
          <w:b/>
          <w:sz w:val="32"/>
          <w:szCs w:val="32"/>
          <w:highlight w:val="none"/>
        </w:rPr>
        <w:t>九</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bCs/>
          <w:sz w:val="32"/>
          <w:szCs w:val="32"/>
          <w:highlight w:val="none"/>
        </w:rPr>
        <w:t xml:space="preserve"> 审慎合规银行办理上述便利化业务，应完善</w:t>
      </w:r>
      <w:r>
        <w:rPr>
          <w:rFonts w:hint="default" w:eastAsia="仿宋_GB2312" w:cs="Times New Roman"/>
          <w:bCs/>
          <w:sz w:val="32"/>
          <w:szCs w:val="32"/>
          <w:highlight w:val="none"/>
        </w:rPr>
        <w:t>尽职调查</w:t>
      </w:r>
      <w:r>
        <w:rPr>
          <w:rFonts w:hint="default" w:ascii="Times New Roman" w:hAnsi="Times New Roman" w:eastAsia="仿宋_GB2312" w:cs="Times New Roman"/>
          <w:bCs/>
          <w:sz w:val="32"/>
          <w:szCs w:val="32"/>
          <w:highlight w:val="none"/>
        </w:rPr>
        <w:t>，优化全流程管理：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（一）了解优质企业主体信息、经营状况、内控管理等，分析判断优质企业的信用合规等情况，并对优质企业进行专门管理。审慎合规银行每年应</w:t>
      </w:r>
      <w:r>
        <w:rPr>
          <w:rFonts w:hint="default" w:eastAsia="仿宋_GB2312" w:cs="Times New Roman"/>
          <w:bCs/>
          <w:sz w:val="32"/>
          <w:szCs w:val="32"/>
          <w:highlight w:val="none"/>
        </w:rPr>
        <w:t>对本行优质企业</w:t>
      </w:r>
      <w:r>
        <w:rPr>
          <w:rFonts w:hint="default" w:ascii="Times New Roman" w:hAnsi="Times New Roman" w:eastAsia="仿宋_GB2312" w:cs="Times New Roman"/>
          <w:bCs/>
          <w:sz w:val="32"/>
          <w:szCs w:val="32"/>
          <w:highlight w:val="none"/>
        </w:rPr>
        <w:t>至少</w:t>
      </w:r>
      <w:r>
        <w:rPr>
          <w:rFonts w:hint="default" w:eastAsia="仿宋_GB2312" w:cs="Times New Roman"/>
          <w:bCs/>
          <w:sz w:val="32"/>
          <w:szCs w:val="32"/>
          <w:highlight w:val="none"/>
        </w:rPr>
        <w:t>开展一次</w:t>
      </w:r>
      <w:r>
        <w:rPr>
          <w:rFonts w:hint="default" w:ascii="Times New Roman" w:hAnsi="Times New Roman" w:eastAsia="仿宋_GB2312" w:cs="Times New Roman"/>
          <w:bCs/>
          <w:sz w:val="32"/>
          <w:szCs w:val="32"/>
          <w:highlight w:val="none"/>
        </w:rPr>
        <w:t>实地走访，并留存相关材料备查。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（二）跟踪市场环境变化，了解不同业务特征和流程，结合优质企业信用状况，持续优化审核方式。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（三）对优质企业经常项目收支持续跟踪评估，动态调整企业分类；对便利化业务实施专门的监测预警，及时发现、报告和处置异常情况。</w:t>
      </w:r>
    </w:p>
    <w:p>
      <w:pPr>
        <w:spacing w:line="240" w:lineRule="auto"/>
        <w:ind w:firstLine="643" w:firstLineChars="200"/>
        <w:rPr>
          <w:rFonts w:hint="default"/>
        </w:rPr>
      </w:pPr>
      <w:r>
        <w:rPr>
          <w:rFonts w:hint="default" w:ascii="Times New Roman" w:hAnsi="Times New Roman" w:eastAsia="仿宋_GB2312" w:cs="Times New Roman"/>
          <w:b/>
          <w:sz w:val="32"/>
          <w:szCs w:val="32"/>
          <w:highlight w:val="none"/>
        </w:rPr>
        <w:t>第</w:t>
      </w:r>
      <w:r>
        <w:rPr>
          <w:rFonts w:hint="default" w:eastAsia="仿宋_GB2312" w:cs="Times New Roman"/>
          <w:b/>
          <w:sz w:val="32"/>
          <w:szCs w:val="32"/>
          <w:highlight w:val="none"/>
        </w:rPr>
        <w:t>十</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bCs/>
          <w:sz w:val="32"/>
          <w:szCs w:val="32"/>
          <w:highlight w:val="none"/>
        </w:rPr>
        <w:t xml:space="preserve"> 审慎合规银行在办理便利化业务涉外收付款和境内收付款申报时，交易附言中应注明“高水平便利试点”字样。</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第十一条</w:t>
      </w:r>
      <w:r>
        <w:rPr>
          <w:rFonts w:hint="default" w:ascii="Times New Roman" w:hAnsi="Times New Roman" w:eastAsia="仿宋_GB2312" w:cs="Times New Roman"/>
          <w:bCs/>
          <w:sz w:val="32"/>
          <w:szCs w:val="32"/>
          <w:highlight w:val="none"/>
        </w:rPr>
        <w:t xml:space="preserve"> 出现以下情形之一的，审慎合规银行应暂停便利化业务：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w:t>
      </w:r>
      <w:r>
        <w:rPr>
          <w:rFonts w:hint="default" w:eastAsia="仿宋_GB2312"/>
          <w:bCs/>
          <w:sz w:val="32"/>
          <w:szCs w:val="32"/>
          <w:highlight w:val="none"/>
        </w:rPr>
        <w:t>审慎合规银行外汇业务合规与审慎经营评估为B-及以下</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w:t>
      </w:r>
      <w:r>
        <w:rPr>
          <w:rFonts w:hint="default" w:eastAsia="仿宋_GB2312" w:cs="Times New Roman"/>
          <w:bCs/>
          <w:sz w:val="32"/>
          <w:szCs w:val="32"/>
          <w:highlight w:val="none"/>
        </w:rPr>
        <w:t>近三年</w:t>
      </w:r>
      <w:r>
        <w:rPr>
          <w:rFonts w:hint="default" w:eastAsia="仿宋_GB2312"/>
          <w:bCs/>
          <w:sz w:val="32"/>
          <w:szCs w:val="32"/>
          <w:highlight w:val="none"/>
        </w:rPr>
        <w:t>审慎合规银行外汇业务合规与审慎经营评估均</w:t>
      </w:r>
      <w:r>
        <w:rPr>
          <w:rFonts w:hint="default" w:eastAsia="仿宋_GB2312" w:cs="Times New Roman"/>
          <w:bCs/>
          <w:sz w:val="32"/>
          <w:szCs w:val="32"/>
          <w:highlight w:val="none"/>
        </w:rPr>
        <w:t>为</w:t>
      </w:r>
      <w:r>
        <w:rPr>
          <w:rFonts w:hint="default" w:ascii="Times New Roman" w:hAnsi="Times New Roman" w:eastAsia="仿宋_GB2312" w:cs="Times New Roman"/>
          <w:bCs/>
          <w:sz w:val="32"/>
          <w:szCs w:val="32"/>
        </w:rPr>
        <w:t>B</w:t>
      </w:r>
      <w:r>
        <w:rPr>
          <w:rFonts w:hint="default"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三</w:t>
      </w:r>
      <w:r>
        <w:rPr>
          <w:rFonts w:hint="default" w:ascii="Times New Roman" w:hAnsi="Times New Roman" w:eastAsia="仿宋_GB2312" w:cs="Times New Roman"/>
          <w:bCs/>
          <w:sz w:val="32"/>
          <w:szCs w:val="32"/>
          <w:highlight w:val="none"/>
        </w:rPr>
        <w:t>）审慎合规银行未尽职审核，主动开展或协助企业开展监管套利、空转套利、虚假交易、构造贸易等异常交易，或为企业开展上述异常交易转移资金或骗取融资提供便利的；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四</w:t>
      </w:r>
      <w:r>
        <w:rPr>
          <w:rFonts w:hint="default" w:ascii="Times New Roman" w:hAnsi="Times New Roman" w:eastAsia="仿宋_GB2312" w:cs="Times New Roman"/>
          <w:bCs/>
          <w:sz w:val="32"/>
          <w:szCs w:val="32"/>
          <w:highlight w:val="none"/>
        </w:rPr>
        <w:t>）审慎合规银行的经营行为对</w:t>
      </w:r>
      <w:r>
        <w:rPr>
          <w:rFonts w:hint="eastAsia" w:ascii="Times New Roman" w:hAnsi="Times New Roman" w:eastAsia="仿宋_GB2312" w:cs="Times New Roman"/>
          <w:bCs/>
          <w:sz w:val="32"/>
          <w:szCs w:val="32"/>
          <w:highlight w:val="none"/>
          <w:lang w:eastAsia="zh-CN"/>
        </w:rPr>
        <w:t>福建</w:t>
      </w:r>
      <w:r>
        <w:rPr>
          <w:rFonts w:hint="default" w:ascii="Times New Roman" w:hAnsi="Times New Roman" w:eastAsia="仿宋_GB2312" w:cs="Times New Roman"/>
          <w:bCs/>
          <w:sz w:val="32"/>
          <w:szCs w:val="32"/>
          <w:highlight w:val="none"/>
        </w:rPr>
        <w:t>省跨境资金流动、金融稳定造成负面影响；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w:t>
      </w:r>
      <w:r>
        <w:rPr>
          <w:rFonts w:hint="default" w:eastAsia="仿宋_GB2312" w:cs="Times New Roman"/>
          <w:bCs/>
          <w:sz w:val="32"/>
          <w:szCs w:val="32"/>
          <w:highlight w:val="none"/>
        </w:rPr>
        <w:t>五</w:t>
      </w:r>
      <w:r>
        <w:rPr>
          <w:rFonts w:hint="default" w:ascii="Times New Roman" w:hAnsi="Times New Roman" w:eastAsia="仿宋_GB2312" w:cs="Times New Roman"/>
          <w:bCs/>
          <w:sz w:val="32"/>
          <w:szCs w:val="32"/>
          <w:highlight w:val="none"/>
        </w:rPr>
        <w:t>）审慎合规银行不配合外汇局监督管理工作。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审慎合规银行暂停便利化业务的，应立即进行整改，整改完成并向</w:t>
      </w:r>
      <w:r>
        <w:rPr>
          <w:rFonts w:hint="eastAsia" w:eastAsia="仿宋_GB2312" w:cs="Times New Roman"/>
          <w:bCs/>
          <w:sz w:val="32"/>
          <w:szCs w:val="32"/>
          <w:highlight w:val="none"/>
          <w:lang w:eastAsia="zh-CN"/>
        </w:rPr>
        <w:t>福建</w:t>
      </w:r>
      <w:r>
        <w:rPr>
          <w:rFonts w:hint="default" w:ascii="Times New Roman" w:hAnsi="Times New Roman" w:eastAsia="仿宋_GB2312" w:cs="Times New Roman"/>
          <w:bCs/>
          <w:sz w:val="32"/>
          <w:szCs w:val="32"/>
          <w:highlight w:val="none"/>
        </w:rPr>
        <w:t>省分局报备后，方可继续开展便利化业务。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第十二条</w:t>
      </w:r>
      <w:r>
        <w:rPr>
          <w:rFonts w:hint="default" w:ascii="Times New Roman" w:hAnsi="Times New Roman" w:eastAsia="仿宋_GB2312" w:cs="Times New Roman"/>
          <w:bCs/>
          <w:sz w:val="32"/>
          <w:szCs w:val="32"/>
          <w:highlight w:val="none"/>
        </w:rPr>
        <w:t xml:space="preserve"> 优质企业出现以下情形之一的，审慎合规银行自发现之日起5个工作日内取消其优质企业资格：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（一）</w:t>
      </w:r>
      <w:r>
        <w:rPr>
          <w:rFonts w:ascii="Times New Roman" w:hAnsi="Times New Roman" w:eastAsia="仿宋_GB2312" w:cs="Times New Roman"/>
          <w:color w:val="auto"/>
          <w:sz w:val="32"/>
          <w:szCs w:val="32"/>
        </w:rPr>
        <w:t>企业被外汇局降为B/C类</w:t>
      </w:r>
      <w:r>
        <w:rPr>
          <w:rFonts w:eastAsia="仿宋_GB2312" w:cs="Times New Roman"/>
          <w:color w:val="auto"/>
          <w:sz w:val="32"/>
          <w:szCs w:val="32"/>
        </w:rPr>
        <w:t>，</w:t>
      </w:r>
      <w:r>
        <w:rPr>
          <w:rFonts w:ascii="Times New Roman" w:hAnsi="Times New Roman" w:eastAsia="仿宋_GB2312" w:cs="Times New Roman"/>
          <w:color w:val="auto"/>
          <w:sz w:val="32"/>
          <w:szCs w:val="32"/>
        </w:rPr>
        <w:t>或</w:t>
      </w:r>
      <w:r>
        <w:rPr>
          <w:rFonts w:eastAsia="仿宋_GB2312" w:cs="Times New Roman"/>
          <w:color w:val="auto"/>
          <w:sz w:val="32"/>
          <w:szCs w:val="32"/>
        </w:rPr>
        <w:t>受到外汇局</w:t>
      </w:r>
      <w:r>
        <w:rPr>
          <w:rFonts w:ascii="Times New Roman" w:hAnsi="Times New Roman" w:eastAsia="仿宋_GB2312" w:cs="Times New Roman"/>
          <w:color w:val="auto"/>
          <w:sz w:val="32"/>
          <w:szCs w:val="32"/>
        </w:rPr>
        <w:t>处罚</w:t>
      </w:r>
      <w:r>
        <w:rPr>
          <w:rFonts w:eastAsia="仿宋_GB2312" w:cs="Times New Roman"/>
          <w:color w:val="auto"/>
          <w:sz w:val="32"/>
          <w:szCs w:val="32"/>
        </w:rPr>
        <w:t>且涉及一般情节、较重情节和严重情节</w:t>
      </w:r>
      <w:r>
        <w:rPr>
          <w:rFonts w:ascii="Times New Roman" w:hAnsi="Times New Roman" w:eastAsia="仿宋_GB2312" w:cs="Times New Roman"/>
          <w:color w:val="auto"/>
          <w:sz w:val="32"/>
          <w:szCs w:val="32"/>
        </w:rPr>
        <w:t>的</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（二）企业存在涉嫌构造贸易、虚假贸易、提供虚假单证等异常情况；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（三）企业不配合外汇局、审慎合规银行监督管理；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highlight w:val="none"/>
        </w:rPr>
        <w:t>（四）审慎合规银行规定的其他条件。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第十三条</w:t>
      </w:r>
      <w:r>
        <w:rPr>
          <w:rFonts w:hint="default" w:ascii="Times New Roman" w:hAnsi="Times New Roman" w:eastAsia="仿宋_GB2312" w:cs="Times New Roman"/>
          <w:bCs/>
          <w:sz w:val="32"/>
          <w:szCs w:val="32"/>
        </w:rPr>
        <w:t xml:space="preserve"> 审慎合规银行、优质企业应按现行外汇管理规定，及时、准确、完整地向</w:t>
      </w:r>
      <w:r>
        <w:rPr>
          <w:rFonts w:hint="eastAsia" w:ascii="Times New Roman" w:hAnsi="Times New Roman" w:eastAsia="仿宋_GB2312" w:cs="Times New Roman"/>
          <w:bCs/>
          <w:sz w:val="32"/>
          <w:szCs w:val="32"/>
          <w:lang w:eastAsia="zh-CN"/>
        </w:rPr>
        <w:t>福建</w:t>
      </w:r>
      <w:r>
        <w:rPr>
          <w:rFonts w:hint="default" w:ascii="Times New Roman" w:hAnsi="Times New Roman" w:eastAsia="仿宋_GB2312" w:cs="Times New Roman"/>
          <w:bCs/>
          <w:sz w:val="32"/>
          <w:szCs w:val="32"/>
        </w:rPr>
        <w:t>省分局报送相关信息；主动报告异常或可疑情况，配合监督检查和核查。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3"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sz w:val="32"/>
          <w:szCs w:val="32"/>
          <w:highlight w:val="none"/>
        </w:rPr>
        <w:t>第十四条</w:t>
      </w:r>
      <w:r>
        <w:rPr>
          <w:rFonts w:hint="default" w:ascii="Times New Roman" w:hAnsi="Times New Roman" w:eastAsia="仿宋_GB2312" w:cs="Times New Roman"/>
          <w:bCs/>
          <w:sz w:val="32"/>
          <w:szCs w:val="32"/>
          <w:highlight w:val="none"/>
        </w:rPr>
        <w:t xml:space="preserve"> </w:t>
      </w:r>
      <w:r>
        <w:rPr>
          <w:rFonts w:hint="default" w:ascii="Times New Roman" w:hAnsi="Times New Roman" w:eastAsia="仿宋_GB2312" w:cs="Times New Roman"/>
          <w:b w:val="0"/>
          <w:bCs w:val="0"/>
          <w:sz w:val="32"/>
          <w:szCs w:val="32"/>
          <w:highlight w:val="none"/>
          <w:lang w:eastAsia="zh-CN"/>
        </w:rPr>
        <w:t>审慎合规银行为优质企业办理</w:t>
      </w:r>
      <w:r>
        <w:rPr>
          <w:rFonts w:hint="default" w:ascii="Times New Roman" w:hAnsi="Times New Roman" w:eastAsia="仿宋_GB2312" w:cs="Times New Roman"/>
          <w:bCs/>
          <w:sz w:val="32"/>
          <w:szCs w:val="32"/>
        </w:rPr>
        <w:t>贸易收支轧差净额结算</w:t>
      </w:r>
      <w:r>
        <w:rPr>
          <w:rFonts w:hint="default" w:ascii="Times New Roman" w:hAnsi="Times New Roman" w:eastAsia="仿宋_GB2312" w:cs="Times New Roman"/>
          <w:b w:val="0"/>
          <w:bCs w:val="0"/>
          <w:sz w:val="32"/>
          <w:szCs w:val="32"/>
          <w:highlight w:val="none"/>
          <w:lang w:eastAsia="zh-CN"/>
        </w:rPr>
        <w:t>，应按如下要求办理实际收付数据和还原数据申报：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对实际收付款数据的申报，实际收付款数据不为零时，企业应通过办理实际对外收付款交易的银行进行申报，银行应将实际收付款信息交易编码申报在“999999-有实际资金收付的集中或轧差结算”项下。实际收付款数据为零时（轧差净额结算合计值为零），银行应虚拟一笔结算值为零的涉外付款，填写《境外汇款申请书》，收付款人名称均为该企业，交易编码申报在“999998-无实际资金收付的轧差结算”项下，“收款人常驻国家（地区）”为“中国”，其他必输项可视情况填报或填写“N/A”。银行应在实际对外收付款之日（轧差净额结算合计值为零时，为轧差结算日或会计结算日）（T）后的第1个工作日（T+1）中午12:00前,完成实际收付款数据的报送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val="0"/>
          <w:bCs w:val="0"/>
          <w:sz w:val="32"/>
          <w:szCs w:val="32"/>
          <w:highlight w:val="none"/>
          <w:lang w:eastAsia="zh-CN"/>
        </w:rPr>
        <w:t>对还原数据的申报，企业在申报实际收付数据的当日，根据全收全支原则，向实际办理或记账处理对外收付款业务的银行提供还原数据的基础信息和申报信息。银行应在实际收付款之日（T）后的第1个工作日（T+1）中午12:00前，完成还原数据基础信息的报送工作；第5个工作日（T+5）前，完成还原数据申报信息的报送工作。申报单号码由发生实际收付款的银行编制，交易编码和交易附言按照实际交易性质填报。银行应将还原数据的“银行业务编号”填写为所对应的实际收付款数据的申报号码。银行应为企业提供申报渠道等基础条件，并负责将还原数据的基础信息和申报信息传送到外汇局。</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第十五条</w:t>
      </w:r>
      <w:r>
        <w:rPr>
          <w:rFonts w:hint="default" w:ascii="Times New Roman" w:hAnsi="Times New Roman" w:eastAsia="仿宋_GB2312" w:cs="Times New Roman"/>
          <w:bCs/>
          <w:sz w:val="32"/>
          <w:szCs w:val="32"/>
          <w:highlight w:val="none"/>
        </w:rPr>
        <w:t xml:space="preserve"> 注册在</w:t>
      </w:r>
      <w:r>
        <w:rPr>
          <w:rFonts w:hint="eastAsia" w:ascii="Times New Roman" w:hAnsi="Times New Roman" w:eastAsia="仿宋_GB2312" w:cs="Times New Roman"/>
          <w:bCs/>
          <w:sz w:val="32"/>
          <w:szCs w:val="32"/>
          <w:highlight w:val="none"/>
          <w:lang w:eastAsia="zh-CN"/>
        </w:rPr>
        <w:t>福建省分局辖内试点地区</w:t>
      </w:r>
      <w:r>
        <w:rPr>
          <w:rFonts w:hint="default" w:ascii="Times New Roman" w:hAnsi="Times New Roman" w:eastAsia="仿宋_GB2312" w:cs="Times New Roman"/>
          <w:bCs/>
          <w:sz w:val="32"/>
          <w:szCs w:val="32"/>
          <w:highlight w:val="none"/>
        </w:rPr>
        <w:t>的国家机关、事业单位、社会团体等适用本细则。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sz w:val="32"/>
          <w:szCs w:val="32"/>
        </w:rPr>
        <w:t>第十六条</w:t>
      </w:r>
      <w:r>
        <w:rPr>
          <w:rFonts w:hint="default" w:ascii="Times New Roman" w:hAnsi="Times New Roman" w:eastAsia="仿宋_GB2312" w:cs="Times New Roman"/>
          <w:bCs/>
          <w:sz w:val="32"/>
          <w:szCs w:val="32"/>
        </w:rPr>
        <w:t xml:space="preserve"> 本实</w:t>
      </w:r>
      <w:r>
        <w:rPr>
          <w:rFonts w:hint="default" w:ascii="Times New Roman" w:hAnsi="Times New Roman" w:eastAsia="仿宋_GB2312" w:cs="Times New Roman"/>
          <w:b w:val="0"/>
          <w:bCs w:val="0"/>
          <w:sz w:val="32"/>
          <w:szCs w:val="32"/>
          <w:highlight w:val="none"/>
          <w:lang w:eastAsia="zh-CN"/>
        </w:rPr>
        <w:t>施细则所指的“经常项目外汇收支”，包括经常项目的货物贸易、服务贸易、初次收入（跨境直接投资的利润、股息和红利除外）和二次收入。本实施细则所指的“新型国际贸易”包括但不限于跨境电商、保税维修、新型离岸国际贸易等货物贸易和服务贸易。</w:t>
      </w:r>
    </w:p>
    <w:p>
      <w:pPr>
        <w:keepNext w:val="0"/>
        <w:keepLines w:val="0"/>
        <w:pageBreakBefore w:val="0"/>
        <w:widowControl w:val="0"/>
        <w:kinsoku/>
        <w:wordWrap/>
        <w:overflowPunct/>
        <w:topLinePunct w:val="0"/>
        <w:autoSpaceDE/>
        <w:autoSpaceDN/>
        <w:bidi w:val="0"/>
        <w:spacing w:line="240" w:lineRule="auto"/>
        <w:ind w:firstLine="643"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sz w:val="32"/>
          <w:szCs w:val="32"/>
          <w:lang w:eastAsia="zh-CN"/>
        </w:rPr>
        <w:t xml:space="preserve">第十七条 </w:t>
      </w:r>
      <w:r>
        <w:rPr>
          <w:rFonts w:hint="default" w:ascii="Times New Roman" w:hAnsi="Times New Roman" w:eastAsia="仿宋_GB2312" w:cs="Times New Roman"/>
          <w:b w:val="0"/>
          <w:bCs w:val="0"/>
          <w:sz w:val="32"/>
          <w:szCs w:val="32"/>
          <w:highlight w:val="none"/>
          <w:lang w:eastAsia="zh-CN"/>
        </w:rPr>
        <w:t>本</w:t>
      </w:r>
      <w:r>
        <w:rPr>
          <w:rFonts w:hint="eastAsia" w:ascii="Times New Roman" w:hAnsi="Times New Roman" w:eastAsia="仿宋_GB2312" w:cs="Times New Roman"/>
          <w:b w:val="0"/>
          <w:bCs w:val="0"/>
          <w:sz w:val="32"/>
          <w:szCs w:val="32"/>
          <w:highlight w:val="none"/>
          <w:lang w:eastAsia="zh-CN"/>
        </w:rPr>
        <w:t>实施</w:t>
      </w:r>
      <w:r>
        <w:rPr>
          <w:rFonts w:hint="default" w:ascii="Times New Roman" w:hAnsi="Times New Roman" w:eastAsia="仿宋_GB2312" w:cs="Times New Roman"/>
          <w:b w:val="0"/>
          <w:bCs w:val="0"/>
          <w:sz w:val="32"/>
          <w:szCs w:val="32"/>
          <w:highlight w:val="none"/>
          <w:lang w:eastAsia="zh-CN"/>
        </w:rPr>
        <w:t>细则自发布之日起实施，由</w:t>
      </w:r>
      <w:r>
        <w:rPr>
          <w:rFonts w:hint="eastAsia" w:eastAsia="仿宋_GB2312" w:cs="Times New Roman"/>
          <w:b w:val="0"/>
          <w:bCs w:val="0"/>
          <w:sz w:val="32"/>
          <w:szCs w:val="32"/>
          <w:highlight w:val="none"/>
          <w:lang w:eastAsia="zh-CN"/>
        </w:rPr>
        <w:t>福建</w:t>
      </w:r>
      <w:r>
        <w:rPr>
          <w:rFonts w:hint="default" w:ascii="Times New Roman" w:hAnsi="Times New Roman" w:eastAsia="仿宋_GB2312" w:cs="Times New Roman"/>
          <w:b w:val="0"/>
          <w:bCs w:val="0"/>
          <w:sz w:val="32"/>
          <w:szCs w:val="32"/>
          <w:highlight w:val="none"/>
          <w:lang w:eastAsia="zh-CN"/>
        </w:rPr>
        <w:t>省分局负责解释。</w:t>
      </w:r>
    </w:p>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 w:val="36"/>
          <w:szCs w:val="36"/>
          <w:lang w:val="en-US" w:eastAsia="zh-CN"/>
        </w:rPr>
      </w:pPr>
      <w:r>
        <w:rPr>
          <w:rFonts w:hint="eastAsia" w:ascii="黑体" w:hAnsi="黑体" w:eastAsia="黑体" w:cs="黑体"/>
          <w:color w:val="000000"/>
          <w:sz w:val="32"/>
          <w:szCs w:val="32"/>
          <w:lang w:val="en-US" w:eastAsia="zh-CN"/>
        </w:rPr>
        <w:t>附2</w:t>
      </w:r>
    </w:p>
    <w:p>
      <w:pPr>
        <w:adjustRightInd w:val="0"/>
        <w:snapToGrid w:val="0"/>
        <w:spacing w:beforeLines="0" w:afterLines="0" w:line="560" w:lineRule="exact"/>
        <w:jc w:val="center"/>
        <w:rPr>
          <w:rFonts w:hint="eastAsia" w:ascii="黑体" w:hAnsi="黑体" w:eastAsia="黑体"/>
          <w:b/>
          <w:color w:val="auto"/>
          <w:sz w:val="36"/>
          <w:u w:val="none" w:color="auto"/>
        </w:rPr>
      </w:pPr>
      <w:r>
        <w:rPr>
          <w:rFonts w:hint="eastAsia" w:ascii="黑体" w:hAnsi="黑体" w:eastAsia="黑体"/>
          <w:b/>
          <w:color w:val="auto"/>
          <w:sz w:val="36"/>
          <w:u w:val="none" w:color="auto"/>
        </w:rPr>
        <w:t>接收境内再投资免登记试点业务实施细则</w:t>
      </w:r>
    </w:p>
    <w:p>
      <w:pPr>
        <w:ind w:firstLine="640" w:firstLineChars="200"/>
        <w:rPr>
          <w:rFonts w:hint="eastAsia" w:ascii="仿宋_GB2312" w:hAnsi="仿宋_GB2312" w:eastAsia="仿宋_GB2312"/>
          <w:sz w:val="32"/>
        </w:rPr>
      </w:pP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第一条</w:t>
      </w:r>
      <w:r>
        <w:rPr>
          <w:rFonts w:hint="eastAsia" w:ascii="仿宋_GB2312" w:hAnsi="仿宋_GB2312" w:eastAsia="仿宋_GB2312"/>
          <w:sz w:val="32"/>
        </w:rPr>
        <w:t xml:space="preserve">  为便利外商投资企业开展境内再投资，服务实体经济发展，制订本实施细则。</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第二条</w:t>
      </w:r>
      <w:r>
        <w:rPr>
          <w:rFonts w:hint="eastAsia" w:ascii="仿宋_GB2312" w:hAnsi="仿宋_GB2312" w:eastAsia="仿宋_GB2312"/>
          <w:sz w:val="32"/>
        </w:rPr>
        <w:t xml:space="preserve">  本实施细则所称接收境内再投资免登记试点业务，是指在不违反国家法律法规、宏观调控要求以及外商投资准入特别管理措施（负面清单）的前提下，允许外商投资企业开展境内再投资时，注册在福建省内的被投资企业或股权出让机构（以下统称“资金接收方”）无需办理接收境内再投资登记（房地产企业除外）。</w:t>
      </w:r>
    </w:p>
    <w:p>
      <w:pPr>
        <w:ind w:firstLine="640" w:firstLineChars="200"/>
        <w:rPr>
          <w:rFonts w:hint="eastAsia" w:ascii="仿宋_GB2312" w:hAnsi="仿宋_GB2312" w:eastAsia="仿宋_GB2312"/>
          <w:sz w:val="32"/>
        </w:rPr>
      </w:pPr>
      <w:r>
        <w:rPr>
          <w:rFonts w:hint="eastAsia" w:ascii="仿宋_GB2312" w:hAnsi="仿宋_GB2312" w:eastAsia="仿宋_GB2312"/>
          <w:sz w:val="32"/>
        </w:rPr>
        <w:t>前款所称外商投资企业境内再投资，是指外商投资企业使用外汇资本金，以原币或结汇所得人民币在境内进行股权投资。</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第三条</w:t>
      </w:r>
      <w:r>
        <w:rPr>
          <w:rFonts w:hint="eastAsia" w:ascii="仿宋_GB2312" w:hAnsi="仿宋_GB2312" w:eastAsia="仿宋_GB2312"/>
          <w:sz w:val="32"/>
        </w:rPr>
        <w:t xml:space="preserve">  被投资企业接收外商投资企业以外汇支付新设或增资款项的，需开立外汇资本金账户接收投资款。股权出让机构接收外商投资企业以外汇支付股权出让对价的，需开立资本项目结算账户收取转股对价。</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第四条</w:t>
      </w:r>
      <w:r>
        <w:rPr>
          <w:rFonts w:hint="eastAsia" w:ascii="仿宋_GB2312" w:hAnsi="仿宋_GB2312" w:eastAsia="仿宋_GB2312"/>
          <w:sz w:val="32"/>
        </w:rPr>
        <w:t xml:space="preserve">  投资性外商投资企业（外商投资性公司、外商投资创业投资企业、外商投资股权投资企业）以人民币形式（直接结汇所得人民币或结汇待支付账户内的人民币）进行境内再投资，相关人民币再投资资金可直接划入资金接收方的境内人民币账户。</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第五条</w:t>
      </w:r>
      <w:r>
        <w:rPr>
          <w:rFonts w:hint="eastAsia" w:ascii="仿宋_GB2312" w:hAnsi="仿宋_GB2312" w:eastAsia="仿宋_GB2312"/>
          <w:sz w:val="32"/>
        </w:rPr>
        <w:t xml:space="preserve">  非投资性外商投资企业以人民币形式（直接结汇所得人民币或结汇待支付账户内的人民币）进行境内再投资，被投资企业应开立结汇待支付账户接收再投资资金。其中，涉及股权出让交易的，相关人民币资金可直接划转至股权出让机构的境内人民币账户。</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第六条</w:t>
      </w:r>
      <w:r>
        <w:rPr>
          <w:rFonts w:hint="eastAsia" w:ascii="仿宋_GB2312" w:hAnsi="仿宋_GB2312" w:eastAsia="仿宋_GB2312"/>
          <w:sz w:val="32"/>
        </w:rPr>
        <w:t xml:space="preserve">  外商投资企业办理境内再投资资金划出时，应向银行提交以下材料：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（一）《试点地区境内再投资业务申请表》（见附表）；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（二）境内再投资相关真实性证明材料（投资合同、协议或企业有关权力机构再投资相关决议等）。</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银行审核材料无误并确认资金接收方注册在试点地区内、划出资金规模与再投资实际投资规模相匹配后，办理再投资资金划出。如发现异常或涉嫌违规的，银行应停止办理资金划出并及时向所在地外汇局报告。</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应按照数据采集规范相关要求报送账户结汇或境内划转信息。对接收境内再投资免登记试点业务，如报送账户结汇信息需在“结汇详细用途”内标明“再投资免登记”，如报送境内划转信息需在“发票号”内标明“再投资免登记”。</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第七条</w:t>
      </w:r>
      <w:r>
        <w:rPr>
          <w:rFonts w:hint="eastAsia" w:ascii="仿宋_GB2312" w:hAnsi="仿宋_GB2312" w:eastAsia="仿宋_GB2312"/>
          <w:sz w:val="32"/>
        </w:rPr>
        <w:t xml:space="preserve">  资金接收方因接收外商投资企业境内再投资资金开立</w:t>
      </w:r>
      <w:r>
        <w:rPr>
          <w:rFonts w:hint="eastAsia" w:ascii="仿宋_GB2312" w:hAnsi="仿宋_GB2312" w:eastAsia="仿宋_GB2312"/>
          <w:color w:val="auto"/>
          <w:sz w:val="32"/>
        </w:rPr>
        <w:t>外汇账户或结汇待支付账户</w:t>
      </w:r>
      <w:r>
        <w:rPr>
          <w:rFonts w:hint="eastAsia" w:ascii="仿宋_GB2312" w:hAnsi="仿宋_GB2312" w:eastAsia="仿宋_GB2312"/>
          <w:sz w:val="32"/>
        </w:rPr>
        <w:t>时，应向银行提交以下材料：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（一）《试点地区境内再投资业务申请表》；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（二）资金接收方加盖单位公章的营业执照复印件。</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银行办理再投资资金入账，还需确认划入资金方与资金接收方的商业关系真实、合规。</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银行应做好资金流向和用途监测工作，发现存在异常或涉嫌违规的，应暂停办理相关资金汇划，并报告所在地外汇局。</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第八条</w:t>
      </w:r>
      <w:r>
        <w:rPr>
          <w:rFonts w:hint="eastAsia" w:ascii="仿宋_GB2312" w:hAnsi="仿宋_GB2312" w:eastAsia="仿宋_GB2312"/>
          <w:sz w:val="32"/>
        </w:rPr>
        <w:t xml:space="preserve">  境内个人接收外商投资企业境内再投资股权转让对价款的，无需办理再投资登记，相关资金可以直接划转至境内个人的境内人民币账户。</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第九条</w:t>
      </w:r>
      <w:r>
        <w:rPr>
          <w:rFonts w:hint="eastAsia" w:ascii="仿宋_GB2312" w:hAnsi="仿宋_GB2312" w:eastAsia="仿宋_GB2312"/>
          <w:sz w:val="32"/>
        </w:rPr>
        <w:t xml:space="preserve">  被投资企业使用接收到的外商投资企业境内再投资资金继续在境内开展再投资的，按照本实施细则办理。</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第十条</w:t>
      </w:r>
      <w:r>
        <w:rPr>
          <w:rFonts w:hint="eastAsia" w:ascii="仿宋_GB2312" w:hAnsi="仿宋_GB2312" w:eastAsia="仿宋_GB2312"/>
          <w:sz w:val="32"/>
        </w:rPr>
        <w:t xml:space="preserve">  其它未明确事项，适用现行外汇管理规定。</w:t>
      </w:r>
    </w:p>
    <w:p>
      <w:pPr>
        <w:pStyle w:val="2"/>
        <w:spacing w:afterLines="0"/>
        <w:rPr>
          <w:rFonts w:hint="eastAsia"/>
          <w:sz w:val="24"/>
        </w:rPr>
      </w:pPr>
    </w:p>
    <w:p>
      <w:pPr>
        <w:ind w:firstLine="640" w:firstLineChars="200"/>
        <w:rPr>
          <w:rFonts w:hint="eastAsia" w:ascii="仿宋_GB2312" w:hAnsi="仿宋_GB2312" w:eastAsia="仿宋_GB2312"/>
          <w:sz w:val="32"/>
        </w:rPr>
      </w:pPr>
    </w:p>
    <w:p>
      <w:pPr>
        <w:widowControl/>
        <w:rPr>
          <w:rFonts w:hint="eastAsia" w:ascii="仿宋_GB2312" w:hAnsi="仿宋_GB2312" w:eastAsia="仿宋_GB2312"/>
          <w:sz w:val="32"/>
        </w:rPr>
      </w:pPr>
      <w:r>
        <w:rPr>
          <w:rFonts w:hint="eastAsia" w:ascii="仿宋_GB2312" w:hAnsi="仿宋_GB2312" w:eastAsia="仿宋_GB2312"/>
          <w:sz w:val="32"/>
        </w:rPr>
        <w:br w:type="page"/>
      </w:r>
    </w:p>
    <w:p>
      <w:pPr>
        <w:rPr>
          <w:rFonts w:hint="eastAsia" w:ascii="Times New Roman" w:hAnsi="Times New Roman" w:eastAsia="Times New Roman"/>
          <w:color w:val="auto"/>
          <w:kern w:val="0"/>
          <w:sz w:val="30"/>
        </w:rPr>
      </w:pPr>
      <w:r>
        <w:rPr>
          <w:rFonts w:hint="default" w:ascii="宋体" w:hAnsi="Times New Roman"/>
          <w:color w:val="auto"/>
          <w:kern w:val="0"/>
          <w:sz w:val="28"/>
        </w:rPr>
        <w:t>附</w:t>
      </w:r>
      <w:r>
        <w:rPr>
          <w:rFonts w:hint="default" w:ascii="宋体"/>
          <w:color w:val="auto"/>
          <w:kern w:val="0"/>
          <w:sz w:val="28"/>
        </w:rPr>
        <w:t>表</w:t>
      </w:r>
    </w:p>
    <w:p>
      <w:pPr>
        <w:jc w:val="center"/>
        <w:rPr>
          <w:rFonts w:hint="eastAsia" w:ascii="Times New Roman" w:hAnsi="Times New Roman" w:eastAsia="Times New Roman"/>
          <w:b/>
          <w:color w:val="auto"/>
          <w:kern w:val="0"/>
          <w:sz w:val="32"/>
        </w:rPr>
      </w:pPr>
      <w:r>
        <w:rPr>
          <w:rFonts w:hint="default" w:ascii="宋体" w:hAnsi="Times New Roman"/>
          <w:b/>
          <w:color w:val="auto"/>
          <w:kern w:val="0"/>
          <w:sz w:val="32"/>
        </w:rPr>
        <w:t>试点地区境内再投资业务申请表</w:t>
      </w:r>
    </w:p>
    <w:tbl>
      <w:tblPr>
        <w:tblStyle w:val="8"/>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2065"/>
        <w:gridCol w:w="24"/>
        <w:gridCol w:w="5"/>
        <w:gridCol w:w="2310"/>
        <w:gridCol w:w="5"/>
        <w:gridCol w:w="2105"/>
        <w:gridCol w:w="5"/>
        <w:gridCol w:w="2434"/>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一、申请事项</w:t>
            </w:r>
          </w:p>
        </w:tc>
        <w:tc>
          <w:tcPr>
            <w:tcW w:w="6888"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Times New Roman"/>
                <w:color w:val="auto"/>
                <w:sz w:val="32"/>
              </w:rPr>
              <w:t>□</w:t>
            </w:r>
            <w:r>
              <w:rPr>
                <w:rFonts w:hint="default" w:ascii="宋体" w:hAnsi="Times New Roman"/>
                <w:color w:val="auto"/>
                <w:sz w:val="18"/>
              </w:rPr>
              <w:t xml:space="preserve">账户开立      </w:t>
            </w:r>
            <w:r>
              <w:rPr>
                <w:rFonts w:hint="eastAsia" w:ascii="Times New Roman" w:hAnsi="Times New Roman" w:eastAsia="Times New Roman"/>
                <w:color w:val="auto"/>
                <w:sz w:val="32"/>
              </w:rPr>
              <w:t>□</w:t>
            </w:r>
            <w:r>
              <w:rPr>
                <w:rFonts w:hint="default" w:ascii="宋体" w:hAnsi="Times New Roman"/>
                <w:color w:val="auto"/>
                <w:sz w:val="18"/>
              </w:rPr>
              <w:t xml:space="preserve">再投资资金划出      </w:t>
            </w:r>
            <w:r>
              <w:rPr>
                <w:rFonts w:hint="eastAsia" w:ascii="Times New Roman" w:hAnsi="Times New Roman" w:eastAsia="Times New Roman"/>
                <w:color w:val="auto"/>
                <w:sz w:val="32"/>
              </w:rPr>
              <w:t>□</w:t>
            </w:r>
            <w:r>
              <w:rPr>
                <w:rFonts w:hint="default" w:ascii="宋体" w:hAnsi="Times New Roman"/>
                <w:color w:val="auto"/>
                <w:sz w:val="18"/>
              </w:rPr>
              <w:t>再投资资金入账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二、开展再投资企业基本情况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企业代码</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企业名称</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企业性质</w:t>
            </w:r>
          </w:p>
        </w:tc>
        <w:tc>
          <w:tcPr>
            <w:tcW w:w="6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default" w:ascii="宋体" w:hAnsi="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投资性外商投资企业    </w:t>
            </w:r>
            <w:r>
              <w:rPr>
                <w:rFonts w:hint="eastAsia" w:ascii="Times New Roman" w:hAnsi="Times New Roman" w:eastAsia="Times New Roman"/>
                <w:color w:val="auto"/>
                <w:sz w:val="32"/>
              </w:rPr>
              <w:t>□</w:t>
            </w:r>
            <w:r>
              <w:rPr>
                <w:rFonts w:hint="default" w:ascii="宋体" w:hAnsi="Times New Roman"/>
                <w:color w:val="auto"/>
                <w:sz w:val="18"/>
              </w:rPr>
              <w:t xml:space="preserve">非投资性外商投资企业    </w:t>
            </w:r>
            <w:r>
              <w:rPr>
                <w:rFonts w:hint="eastAsia" w:ascii="Times New Roman" w:hAnsi="Times New Roman" w:eastAsia="Times New Roman"/>
                <w:color w:val="auto"/>
                <w:sz w:val="32"/>
              </w:rPr>
              <w:t>□</w:t>
            </w:r>
            <w:r>
              <w:rPr>
                <w:rFonts w:hint="default" w:ascii="宋体" w:hAnsi="Times New Roman"/>
                <w:color w:val="auto"/>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三、被投资企业基本情况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主体代码</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主体名称</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经营范围</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所属行业</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注册地址</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是否在试点地区范围内</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是     </w:t>
            </w:r>
            <w:r>
              <w:rPr>
                <w:rFonts w:hint="eastAsia" w:ascii="Times New Roman" w:hAnsi="Times New Roman" w:eastAsia="Times New Roman"/>
                <w:color w:val="auto"/>
                <w:sz w:val="32"/>
              </w:rPr>
              <w:t>□</w:t>
            </w:r>
            <w:r>
              <w:rPr>
                <w:rFonts w:hint="default" w:ascii="宋体" w:hAnsi="Times New Roman"/>
                <w:color w:val="auto"/>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四、股权出让方基本情况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主体代码</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主体名称</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股权出让方性质</w:t>
            </w:r>
          </w:p>
        </w:tc>
        <w:tc>
          <w:tcPr>
            <w:tcW w:w="6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left"/>
              <w:outlineLvl w:val="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境内机构   </w:t>
            </w:r>
            <w:r>
              <w:rPr>
                <w:rFonts w:hint="eastAsia" w:ascii="Times New Roman" w:hAnsi="Times New Roman" w:eastAsia="Times New Roman"/>
                <w:color w:val="auto"/>
                <w:sz w:val="32"/>
              </w:rPr>
              <w:t>□</w:t>
            </w:r>
            <w:r>
              <w:rPr>
                <w:rFonts w:hint="default" w:ascii="宋体" w:hAnsi="Times New Roman"/>
                <w:color w:val="auto"/>
                <w:sz w:val="18"/>
              </w:rPr>
              <w:t>境内个人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经营范围</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所属行业</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注册地址</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是否在试点地区范围内</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是     </w:t>
            </w:r>
            <w:r>
              <w:rPr>
                <w:rFonts w:hint="eastAsia" w:ascii="Times New Roman" w:hAnsi="Times New Roman" w:eastAsia="Times New Roman"/>
                <w:color w:val="auto"/>
                <w:sz w:val="32"/>
              </w:rPr>
              <w:t>□</w:t>
            </w:r>
            <w:r>
              <w:rPr>
                <w:rFonts w:hint="default" w:ascii="宋体" w:hAnsi="Times New Roman"/>
                <w:color w:val="auto"/>
                <w:sz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五、再投资情况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开展再投资方式</w:t>
            </w:r>
          </w:p>
        </w:tc>
        <w:tc>
          <w:tcPr>
            <w:tcW w:w="6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left"/>
              <w:outlineLvl w:val="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color w:val="auto"/>
                <w:sz w:val="18"/>
              </w:rPr>
              <w:t xml:space="preserve">通过新设或增资进行境内再投资     </w:t>
            </w:r>
            <w:r>
              <w:rPr>
                <w:rFonts w:hint="eastAsia" w:ascii="Times New Roman" w:hAnsi="Times New Roman" w:eastAsia="Times New Roman"/>
                <w:color w:val="auto"/>
                <w:sz w:val="32"/>
              </w:rPr>
              <w:t>□</w:t>
            </w:r>
            <w:r>
              <w:rPr>
                <w:rFonts w:hint="default" w:ascii="宋体" w:hAnsi="Times New Roman"/>
                <w:color w:val="auto"/>
                <w:sz w:val="18"/>
              </w:rPr>
              <w:t>通过购买原股东股权进行境内再投资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再投资金额</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币种</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已划转金额</w:t>
            </w:r>
          </w:p>
        </w:tc>
        <w:tc>
          <w:tcPr>
            <w:tcW w:w="23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c>
          <w:tcPr>
            <w:tcW w:w="21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本次划转金额</w:t>
            </w:r>
          </w:p>
        </w:tc>
        <w:tc>
          <w:tcPr>
            <w:tcW w:w="243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510" w:hRule="exact"/>
          <w:jc w:val="center"/>
        </w:trPr>
        <w:tc>
          <w:tcPr>
            <w:tcW w:w="20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Times New Roman"/>
                <w:color w:val="auto"/>
                <w:sz w:val="18"/>
              </w:rPr>
            </w:pPr>
            <w:r>
              <w:rPr>
                <w:rFonts w:hint="default" w:ascii="宋体" w:hAnsi="Times New Roman"/>
                <w:color w:val="auto"/>
                <w:sz w:val="18"/>
              </w:rPr>
              <w:t>尚可划转金额</w:t>
            </w:r>
          </w:p>
        </w:tc>
        <w:tc>
          <w:tcPr>
            <w:tcW w:w="6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napToGrid w:val="0"/>
              <w:jc w:val="center"/>
              <w:outlineLvl w:val="0"/>
              <w:rPr>
                <w:rFonts w:hint="eastAsia" w:ascii="Times New Roman" w:hAnsi="Times New Roman" w:eastAsia="Times New Roman"/>
                <w:b/>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90" w:hRule="atLeas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rPr>
                <w:rFonts w:hint="eastAsia" w:ascii="Times New Roman" w:hAnsi="Times New Roman" w:eastAsia="黑体"/>
                <w:color w:val="auto"/>
                <w:sz w:val="21"/>
              </w:rPr>
            </w:pPr>
            <w:r>
              <w:rPr>
                <w:rFonts w:hint="eastAsia" w:ascii="Times New Roman" w:hAnsi="Times New Roman" w:eastAsia="黑体"/>
                <w:color w:val="auto"/>
                <w:sz w:val="21"/>
              </w:rPr>
              <w:t>六、备注（如以上表格内容不能完整反映登记信息，可在此栏中填写）</w:t>
            </w:r>
          </w:p>
          <w:p>
            <w:pPr>
              <w:snapToGrid w:val="0"/>
              <w:rPr>
                <w:rFonts w:hint="eastAsia" w:ascii="Times New Roman" w:hAnsi="Times New Roman" w:eastAsia="Times New Roman"/>
                <w:color w:val="auto"/>
                <w:sz w:val="21"/>
              </w:rPr>
            </w:pPr>
          </w:p>
          <w:p>
            <w:pPr>
              <w:snapToGrid w:val="0"/>
              <w:rPr>
                <w:rFonts w:hint="eastAsia" w:ascii="Times New Roman" w:hAnsi="Times New Roman" w:eastAsia="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387" w:hRule="atLeast"/>
          <w:jc w:val="center"/>
        </w:trPr>
        <w:tc>
          <w:tcPr>
            <w:tcW w:w="8958" w:type="dxa"/>
            <w:gridSpan w:val="9"/>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rPr>
                <w:rFonts w:hint="eastAsia" w:ascii="Times New Roman" w:hAnsi="Times New Roman" w:eastAsia="Times New Roman"/>
                <w:color w:val="auto"/>
                <w:sz w:val="21"/>
              </w:rPr>
            </w:pPr>
            <w:r>
              <w:rPr>
                <w:rFonts w:hint="eastAsia" w:ascii="Times New Roman" w:hAnsi="Times New Roman" w:eastAsia="黑体"/>
                <w:color w:val="auto"/>
                <w:sz w:val="21"/>
              </w:rPr>
              <w:t>七、承诺：请勾选</w:t>
            </w:r>
          </w:p>
          <w:p>
            <w:pPr>
              <w:snapToGrid w:val="0"/>
              <w:ind w:firstLine="320" w:firstLineChars="10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b/>
                <w:color w:val="auto"/>
                <w:sz w:val="18"/>
              </w:rPr>
              <w:t>本人/本机构所填写的</w:t>
            </w:r>
            <w:r>
              <w:rPr>
                <w:rFonts w:hint="default" w:ascii="宋体" w:hAnsi="Times New Roman"/>
                <w:b/>
                <w:snapToGrid w:val="0"/>
                <w:color w:val="auto"/>
                <w:kern w:val="0"/>
                <w:sz w:val="18"/>
              </w:rPr>
              <w:t>《试点地区境内再投资业务申请表》</w:t>
            </w:r>
            <w:r>
              <w:rPr>
                <w:rFonts w:hint="default" w:ascii="宋体" w:hAnsi="Times New Roman"/>
                <w:b/>
                <w:color w:val="auto"/>
                <w:sz w:val="18"/>
              </w:rPr>
              <w:t>中各项内容及所提交的所有书面材料均真实有效，本人/本机构保证所提交的各项表格、文件真实、准确、完整，否则本人/本机构将承担由此而导致的一切后果。</w:t>
            </w:r>
          </w:p>
          <w:p>
            <w:pPr>
              <w:snapToGrid w:val="0"/>
              <w:ind w:firstLine="320" w:firstLineChars="100"/>
              <w:rPr>
                <w:rFonts w:hint="eastAsia" w:ascii="Times New Roman" w:hAnsi="Times New Roman" w:eastAsia="Times New Roman"/>
                <w:b/>
                <w:color w:val="auto"/>
                <w:sz w:val="18"/>
              </w:rPr>
            </w:pPr>
            <w:r>
              <w:rPr>
                <w:rFonts w:hint="eastAsia" w:ascii="Times New Roman" w:hAnsi="Times New Roman" w:eastAsia="Times New Roman"/>
                <w:color w:val="auto"/>
                <w:sz w:val="32"/>
              </w:rPr>
              <w:t>□</w:t>
            </w:r>
            <w:r>
              <w:rPr>
                <w:rFonts w:hint="default" w:ascii="宋体" w:hAnsi="Times New Roman"/>
                <w:b/>
                <w:color w:val="auto"/>
                <w:sz w:val="18"/>
              </w:rPr>
              <w:t>承诺再投资事项符合现行外资准入管理规定、所投项目真实合规，如有不实，自行承担相关法律责任。</w:t>
            </w:r>
          </w:p>
          <w:p>
            <w:pPr>
              <w:snapToGrid w:val="0"/>
              <w:ind w:firstLine="360" w:firstLineChars="200"/>
              <w:rPr>
                <w:rFonts w:hint="eastAsia" w:ascii="Times New Roman" w:hAnsi="Times New Roman" w:eastAsia="Times New Roman"/>
                <w:b/>
                <w:color w:val="auto"/>
                <w:sz w:val="18"/>
              </w:rPr>
            </w:pPr>
          </w:p>
          <w:p>
            <w:pPr>
              <w:snapToGrid w:val="0"/>
              <w:ind w:firstLine="360" w:firstLineChars="200"/>
              <w:rPr>
                <w:rFonts w:hint="eastAsia" w:ascii="Times New Roman" w:hAnsi="Times New Roman" w:eastAsia="Times New Roman"/>
                <w:b/>
                <w:color w:val="auto"/>
                <w:sz w:val="18"/>
              </w:rPr>
            </w:pPr>
          </w:p>
          <w:p>
            <w:pPr>
              <w:snapToGrid w:val="0"/>
              <w:ind w:firstLine="360" w:firstLineChars="200"/>
              <w:rPr>
                <w:rFonts w:hint="eastAsia" w:ascii="Times New Roman" w:hAnsi="Times New Roman" w:eastAsia="Times New Roman"/>
                <w:b/>
                <w:color w:val="auto"/>
                <w:sz w:val="18"/>
              </w:rPr>
            </w:pPr>
          </w:p>
          <w:p>
            <w:pPr>
              <w:snapToGrid w:val="0"/>
              <w:ind w:firstLine="361" w:firstLineChars="200"/>
              <w:rPr>
                <w:rFonts w:hint="eastAsia" w:ascii="Times New Roman" w:hAnsi="Times New Roman" w:eastAsia="Times New Roman"/>
                <w:b/>
                <w:color w:val="auto"/>
                <w:sz w:val="18"/>
              </w:rPr>
            </w:pPr>
            <w:r>
              <w:rPr>
                <w:rFonts w:hint="default" w:ascii="宋体" w:hAnsi="Times New Roman"/>
                <w:b/>
                <w:color w:val="auto"/>
                <w:sz w:val="18"/>
              </w:rPr>
              <w:t>本人/法定代表人签字或盖章（或授权委托人签字或盖章）:            单位公章：</w:t>
            </w:r>
          </w:p>
          <w:p>
            <w:pPr>
              <w:snapToGrid w:val="0"/>
              <w:ind w:firstLine="360" w:firstLineChars="200"/>
              <w:rPr>
                <w:rFonts w:hint="eastAsia" w:ascii="Times New Roman" w:hAnsi="Times New Roman" w:eastAsia="Times New Roman"/>
                <w:b/>
                <w:color w:val="auto"/>
                <w:sz w:val="18"/>
              </w:rPr>
            </w:pPr>
            <w:r>
              <w:rPr>
                <w:rFonts w:hint="eastAsia" w:ascii="Times New Roman" w:hAnsi="Times New Roman" w:eastAsia="Times New Roman"/>
                <w:b/>
                <w:color w:val="auto"/>
                <w:sz w:val="18"/>
              </w:rPr>
              <w:t xml:space="preserve"> </w:t>
            </w:r>
          </w:p>
          <w:p>
            <w:pPr>
              <w:snapToGrid w:val="0"/>
              <w:ind w:firstLine="6106" w:firstLineChars="3379"/>
              <w:rPr>
                <w:rFonts w:hint="eastAsia" w:ascii="Times New Roman" w:hAnsi="Times New Roman" w:eastAsia="Times New Roman"/>
                <w:b/>
                <w:color w:val="auto"/>
                <w:sz w:val="18"/>
              </w:rPr>
            </w:pPr>
            <w:r>
              <w:rPr>
                <w:rFonts w:hint="default" w:ascii="宋体" w:hAnsi="Times New Roman"/>
                <w:b/>
                <w:color w:val="auto"/>
                <w:sz w:val="18"/>
              </w:rPr>
              <w:t>申请日期：     年   月   日</w:t>
            </w:r>
          </w:p>
        </w:tc>
      </w:tr>
    </w:tbl>
    <w:p>
      <w:pPr>
        <w:rPr>
          <w:rFonts w:hint="eastAsia" w:ascii="Times New Roman" w:hAnsi="Times New Roman" w:eastAsia="Times New Roman"/>
          <w:b/>
          <w:color w:val="auto"/>
          <w:kern w:val="0"/>
          <w:sz w:val="21"/>
        </w:rPr>
      </w:pPr>
      <w:r>
        <w:rPr>
          <w:rFonts w:hint="default" w:ascii="宋体" w:hAnsi="Times New Roman"/>
          <w:b/>
          <w:color w:val="auto"/>
          <w:kern w:val="0"/>
          <w:sz w:val="21"/>
        </w:rPr>
        <w:t>填表说明：</w:t>
      </w:r>
    </w:p>
    <w:p>
      <w:pPr>
        <w:ind w:firstLine="435"/>
        <w:rPr>
          <w:rFonts w:hint="eastAsia" w:ascii="Times New Roman" w:hAnsi="Times New Roman" w:eastAsia="Times New Roman"/>
          <w:color w:val="auto"/>
          <w:kern w:val="0"/>
          <w:sz w:val="21"/>
        </w:rPr>
      </w:pPr>
      <w:r>
        <w:rPr>
          <w:rFonts w:hint="eastAsia" w:ascii="Times New Roman" w:hAnsi="Times New Roman" w:eastAsia="Times New Roman"/>
          <w:color w:val="auto"/>
          <w:kern w:val="0"/>
          <w:sz w:val="21"/>
        </w:rPr>
        <w:t>1.“</w:t>
      </w:r>
      <w:r>
        <w:rPr>
          <w:rFonts w:hint="default" w:ascii="宋体" w:hAnsi="Times New Roman"/>
          <w:color w:val="auto"/>
          <w:kern w:val="0"/>
          <w:sz w:val="21"/>
        </w:rPr>
        <w:t>申请事项”根据所涉再投资业务情况选择对应的“账户开立”、“再投资资金划出”及“再投资资金入账”。</w:t>
      </w:r>
    </w:p>
    <w:p>
      <w:pPr>
        <w:ind w:firstLine="435"/>
        <w:rPr>
          <w:rFonts w:hint="default" w:ascii="宋体" w:hAnsi="Times New Roman"/>
          <w:color w:val="auto"/>
          <w:kern w:val="0"/>
          <w:sz w:val="21"/>
        </w:rPr>
      </w:pPr>
      <w:r>
        <w:rPr>
          <w:rFonts w:hint="eastAsia" w:ascii="Times New Roman" w:hAnsi="Times New Roman" w:eastAsia="Times New Roman"/>
          <w:color w:val="auto"/>
          <w:kern w:val="0"/>
          <w:sz w:val="21"/>
        </w:rPr>
        <w:t>2.“</w:t>
      </w:r>
      <w:r>
        <w:rPr>
          <w:rFonts w:hint="default" w:ascii="宋体" w:hAnsi="Times New Roman"/>
          <w:color w:val="auto"/>
          <w:kern w:val="0"/>
          <w:sz w:val="21"/>
        </w:rPr>
        <w:t>开展再投资企业基本情况</w:t>
      </w:r>
      <w:r>
        <w:rPr>
          <w:rFonts w:hint="eastAsia" w:ascii="Times New Roman" w:hAnsi="Times New Roman" w:eastAsia="Times New Roman"/>
          <w:color w:val="auto"/>
          <w:kern w:val="0"/>
          <w:sz w:val="21"/>
        </w:rPr>
        <w:t>”</w:t>
      </w:r>
      <w:r>
        <w:rPr>
          <w:rFonts w:hint="default" w:ascii="宋体" w:hAnsi="Times New Roman"/>
          <w:color w:val="auto"/>
          <w:kern w:val="0"/>
          <w:sz w:val="21"/>
        </w:rPr>
        <w:t>根据开展再投资企业的实际情况填写，如涉及被投资企业使用接收到的外商投资企业境内再投资资金继续在境内开展再投资等情况的，“企业性质”勾选“其他”，并在备注栏填写相关情况。</w:t>
      </w:r>
    </w:p>
    <w:p>
      <w:pPr>
        <w:ind w:firstLine="435"/>
        <w:rPr>
          <w:rFonts w:hint="eastAsia" w:ascii="Times New Roman" w:hAnsi="Times New Roman" w:eastAsia="Times New Roman"/>
          <w:color w:val="auto"/>
          <w:kern w:val="0"/>
          <w:sz w:val="21"/>
        </w:rPr>
      </w:pPr>
      <w:r>
        <w:rPr>
          <w:rFonts w:hint="eastAsia" w:ascii="Times New Roman" w:hAnsi="Times New Roman" w:eastAsia="Times New Roman"/>
          <w:color w:val="auto"/>
          <w:kern w:val="0"/>
          <w:sz w:val="21"/>
        </w:rPr>
        <w:t>3.</w:t>
      </w:r>
      <w:r>
        <w:rPr>
          <w:rFonts w:hint="eastAsia" w:ascii="Times New Roman" w:hAnsi="Times New Roman" w:eastAsia="Times New Roman"/>
          <w:color w:val="auto"/>
          <w:sz w:val="21"/>
        </w:rPr>
        <w:t>“</w:t>
      </w:r>
      <w:r>
        <w:rPr>
          <w:rFonts w:hint="default" w:ascii="宋体" w:hAnsi="Times New Roman"/>
          <w:color w:val="auto"/>
          <w:kern w:val="0"/>
          <w:sz w:val="21"/>
        </w:rPr>
        <w:t>被投资企业基本情况”和</w:t>
      </w:r>
      <w:r>
        <w:rPr>
          <w:rFonts w:hint="eastAsia" w:ascii="Times New Roman" w:hAnsi="Times New Roman" w:eastAsia="Times New Roman"/>
          <w:color w:val="auto"/>
          <w:kern w:val="0"/>
          <w:sz w:val="21"/>
        </w:rPr>
        <w:t>“</w:t>
      </w:r>
      <w:r>
        <w:rPr>
          <w:rFonts w:hint="default" w:ascii="宋体" w:hAnsi="Times New Roman"/>
          <w:color w:val="auto"/>
          <w:kern w:val="0"/>
          <w:sz w:val="21"/>
        </w:rPr>
        <w:t>股权出让方基本情况”根据境内再投资的具体情况选择填写。其中，“股权出让方基本情况”填写接收再投资资金主体（股权出让机构或个人）信息，主体代码包括机构代码或个人的身份证号码。主体为个人的，“经营范围”和“所属行业”填写“无”。</w:t>
      </w:r>
    </w:p>
    <w:p>
      <w:pPr>
        <w:ind w:firstLine="435"/>
        <w:rPr>
          <w:rFonts w:hint="eastAsia" w:ascii="Times New Roman" w:hAnsi="Times New Roman" w:eastAsia="Times New Roman"/>
          <w:kern w:val="0"/>
          <w:sz w:val="21"/>
        </w:rPr>
      </w:pPr>
      <w:r>
        <w:rPr>
          <w:rFonts w:hint="eastAsia" w:ascii="Times New Roman" w:hAnsi="Times New Roman" w:eastAsia="Times New Roman"/>
          <w:color w:val="auto"/>
          <w:kern w:val="0"/>
          <w:sz w:val="21"/>
        </w:rPr>
        <w:t>4.“</w:t>
      </w:r>
      <w:r>
        <w:rPr>
          <w:rFonts w:hint="default" w:ascii="宋体" w:hAnsi="Times New Roman"/>
          <w:color w:val="auto"/>
          <w:kern w:val="0"/>
          <w:sz w:val="21"/>
        </w:rPr>
        <w:t>开展再投资方式”由外商投资企业或被投资企业/股权出让方（“资金接收方”）根据实际情况分别填写。</w:t>
      </w:r>
      <w:r>
        <w:rPr>
          <w:rFonts w:hint="eastAsia" w:ascii="Times New Roman" w:hAnsi="Times New Roman" w:eastAsia="Times New Roman"/>
          <w:color w:val="auto"/>
          <w:kern w:val="0"/>
          <w:sz w:val="21"/>
        </w:rPr>
        <w:t>“</w:t>
      </w:r>
      <w:r>
        <w:rPr>
          <w:rFonts w:hint="default" w:ascii="宋体" w:hAnsi="Times New Roman"/>
          <w:color w:val="auto"/>
          <w:kern w:val="0"/>
          <w:sz w:val="21"/>
        </w:rPr>
        <w:t>再投资情况”均需折投资币种填写。其中，“再投资金额”指再投资总体投资金额（由外商投资企业填写）或总体接收金额（由资金接收方填写）。“已划转金额”指本次申请前已向资金接收方划转（由外商投资企业填写）或资金接收方已接收（由资金接收方填写）的金额。“本次划转金额”指本次申请向资金接收方划转（由外商投资企业填写）或资金接收方本次申请接收（由资金接收方填写）的金额。“尚可划转金额”为“再投资金额”减去“已划转金额”减去“本次划转金额”，“尚可划转金额”原则上应大于等于0。</w:t>
      </w:r>
    </w:p>
    <w:p>
      <w:pPr>
        <w:rPr>
          <w:rFonts w:hint="eastAsia" w:ascii="仿宋_GB2312" w:hAnsi="仿宋_GB2312" w:eastAsia="仿宋_GB2312"/>
          <w:sz w:val="32"/>
        </w:rPr>
      </w:pPr>
      <w:r>
        <w:rPr>
          <w:rFonts w:hint="eastAsia" w:ascii="仿宋_GB2312" w:hAnsi="仿宋_GB2312" w:eastAsia="仿宋_GB2312"/>
          <w:sz w:val="32"/>
        </w:rPr>
        <w:br w:type="page"/>
      </w:r>
    </w:p>
    <w:p>
      <w:pPr>
        <w:adjustRightInd w:val="0"/>
        <w:snapToGrid w:val="0"/>
        <w:spacing w:beforeLines="0" w:afterLines="0" w:line="560" w:lineRule="exact"/>
        <w:rPr>
          <w:rFonts w:hint="eastAsia" w:ascii="仿宋_GB2312" w:hAnsi="仿宋_GB2312" w:eastAsia="仿宋_GB2312"/>
          <w:color w:val="auto"/>
          <w:sz w:val="32"/>
          <w:u w:val="none" w:color="auto"/>
          <w:lang w:eastAsia="zh-CN"/>
        </w:rPr>
      </w:pPr>
      <w:r>
        <w:rPr>
          <w:rFonts w:hint="eastAsia" w:ascii="仿宋_GB2312" w:hAnsi="仿宋_GB2312" w:eastAsia="仿宋_GB2312"/>
          <w:color w:val="auto"/>
          <w:sz w:val="32"/>
          <w:u w:val="none" w:color="auto"/>
        </w:rPr>
        <w:t>附</w:t>
      </w:r>
      <w:r>
        <w:rPr>
          <w:rFonts w:hint="eastAsia" w:ascii="仿宋_GB2312" w:hAnsi="仿宋_GB2312" w:eastAsia="仿宋_GB2312"/>
          <w:color w:val="auto"/>
          <w:sz w:val="32"/>
          <w:u w:val="none" w:color="auto"/>
          <w:lang w:val="en-US" w:eastAsia="zh-CN"/>
        </w:rPr>
        <w:t>3</w:t>
      </w:r>
    </w:p>
    <w:p>
      <w:pPr>
        <w:spacing w:line="520" w:lineRule="exact"/>
        <w:jc w:val="center"/>
        <w:rPr>
          <w:rFonts w:hint="eastAsia" w:ascii="黑体" w:hAnsi="黑体" w:eastAsia="黑体"/>
          <w:b/>
          <w:color w:val="auto"/>
          <w:sz w:val="36"/>
        </w:rPr>
      </w:pPr>
      <w:r>
        <w:rPr>
          <w:rFonts w:hint="eastAsia" w:ascii="黑体" w:hAnsi="黑体" w:eastAsia="黑体"/>
          <w:b/>
          <w:color w:val="auto"/>
          <w:sz w:val="36"/>
        </w:rPr>
        <w:t>银行办理非金融企业外债签约（变更）</w:t>
      </w:r>
    </w:p>
    <w:p>
      <w:pPr>
        <w:spacing w:line="520" w:lineRule="exact"/>
        <w:jc w:val="center"/>
        <w:rPr>
          <w:rFonts w:hint="eastAsia" w:ascii="黑体" w:hAnsi="黑体" w:eastAsia="黑体"/>
          <w:b/>
          <w:color w:val="auto"/>
          <w:sz w:val="36"/>
        </w:rPr>
      </w:pPr>
      <w:r>
        <w:rPr>
          <w:rFonts w:hint="eastAsia" w:ascii="黑体" w:hAnsi="黑体" w:eastAsia="黑体"/>
          <w:b/>
          <w:color w:val="auto"/>
          <w:sz w:val="36"/>
        </w:rPr>
        <w:t>登记业务实施细则</w:t>
      </w:r>
    </w:p>
    <w:p>
      <w:pPr>
        <w:pStyle w:val="2"/>
        <w:spacing w:afterLines="0"/>
        <w:rPr>
          <w:rFonts w:hint="eastAsia"/>
          <w:color w:val="auto"/>
          <w:sz w:val="32"/>
        </w:rPr>
      </w:pPr>
    </w:p>
    <w:p>
      <w:pPr>
        <w:widowControl/>
        <w:ind w:firstLine="643" w:firstLineChars="200"/>
        <w:rPr>
          <w:rFonts w:hint="eastAsia" w:ascii="仿宋_GB2312" w:hAnsi="仿宋_GB2312" w:eastAsia="仿宋_GB2312"/>
          <w:color w:val="auto"/>
          <w:sz w:val="32"/>
        </w:rPr>
      </w:pPr>
      <w:r>
        <w:rPr>
          <w:rFonts w:hint="eastAsia" w:ascii="仿宋_GB2312" w:hAnsi="仿宋_GB2312" w:eastAsia="仿宋_GB2312"/>
          <w:b/>
          <w:color w:val="auto"/>
          <w:sz w:val="32"/>
        </w:rPr>
        <w:t>第一条</w:t>
      </w:r>
      <w:r>
        <w:rPr>
          <w:rFonts w:hint="eastAsia" w:ascii="仿宋_GB2312" w:hAnsi="仿宋_GB2312" w:eastAsia="仿宋_GB2312"/>
          <w:color w:val="auto"/>
          <w:sz w:val="32"/>
        </w:rPr>
        <w:t xml:space="preserve"> 为便利银行办理非金融企业外债签约（变更）登记，根据服务实体经济、有效防范风险的原则，制订本实施细则。</w:t>
      </w:r>
    </w:p>
    <w:p>
      <w:pPr>
        <w:widowControl/>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sz w:val="32"/>
        </w:rPr>
        <w:t>第二条</w:t>
      </w:r>
      <w:r>
        <w:rPr>
          <w:rFonts w:hint="eastAsia" w:ascii="仿宋_GB2312" w:hAnsi="仿宋_GB2312" w:eastAsia="仿宋_GB2312"/>
          <w:color w:val="auto"/>
          <w:sz w:val="32"/>
        </w:rPr>
        <w:t xml:space="preserve"> 本实施细则所指非金融企业是指注册在福建省（不含厦门，下同）</w:t>
      </w:r>
      <w:r>
        <w:rPr>
          <w:rFonts w:hint="eastAsia" w:ascii="仿宋_GB2312" w:hAnsi="仿宋_GB2312" w:eastAsia="仿宋_GB2312"/>
          <w:color w:val="auto"/>
          <w:kern w:val="0"/>
          <w:sz w:val="32"/>
        </w:rPr>
        <w:t>选择全口径跨境融资宏观审慎模式借用外债的非金融企业债务人（房地产企业、地方政府融资平台、融资租赁公司、融资担保公司、商业保理公司、地方资产管理公司、小额贷款公司、典当行除外），不含选择其他方式借用外债（包括“投注差”模式、跨境融资便利化试点政策）的非金融企业债务人。</w:t>
      </w:r>
    </w:p>
    <w:p>
      <w:pPr>
        <w:pStyle w:val="2"/>
        <w:numPr>
          <w:ilvl w:val="0"/>
          <w:numId w:val="0"/>
        </w:numPr>
        <w:spacing w:after="0" w:afterLines="0" w:line="240" w:lineRule="auto"/>
        <w:ind w:left="0" w:right="-142"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sz w:val="32"/>
        </w:rPr>
        <w:t>第三条</w:t>
      </w:r>
      <w:r>
        <w:rPr>
          <w:rFonts w:hint="eastAsia" w:ascii="仿宋_GB2312" w:hAnsi="仿宋_GB2312" w:eastAsia="仿宋_GB2312"/>
          <w:color w:val="auto"/>
          <w:sz w:val="32"/>
        </w:rPr>
        <w:t xml:space="preserve"> </w:t>
      </w:r>
      <w:r>
        <w:rPr>
          <w:rFonts w:hint="eastAsia" w:ascii="仿宋_GB2312" w:hAnsi="仿宋_GB2312" w:eastAsia="仿宋_GB2312"/>
          <w:color w:val="auto"/>
          <w:kern w:val="0"/>
          <w:sz w:val="32"/>
        </w:rPr>
        <w:t>非金融企业债务人跨境融资风险加权余额不得超过其跨境融资风险加权余额上限。跨境融资风险加权余额与跨境融资风险加权余额上限，按照《中国人民银行关于全口径跨境融资宏观审慎管理有关事宜的通知》（银发〔2017〕9号）规定的计算公式计算，宏观审慎调节参数等指标按现行文件规定执行。</w:t>
      </w:r>
    </w:p>
    <w:p>
      <w:pPr>
        <w:pStyle w:val="2"/>
        <w:numPr>
          <w:ilvl w:val="0"/>
          <w:numId w:val="0"/>
        </w:numPr>
        <w:spacing w:after="0" w:afterLines="0" w:line="240" w:lineRule="auto"/>
        <w:ind w:left="0" w:right="-142" w:firstLine="643" w:firstLineChars="200"/>
        <w:rPr>
          <w:rFonts w:hint="eastAsia"/>
          <w:color w:val="auto"/>
          <w:sz w:val="32"/>
        </w:rPr>
      </w:pPr>
      <w:r>
        <w:rPr>
          <w:rFonts w:hint="eastAsia" w:ascii="仿宋_GB2312" w:hAnsi="仿宋_GB2312" w:eastAsia="仿宋_GB2312"/>
          <w:b/>
          <w:color w:val="auto"/>
          <w:kern w:val="0"/>
          <w:sz w:val="32"/>
        </w:rPr>
        <w:t>第四条</w:t>
      </w:r>
      <w:r>
        <w:rPr>
          <w:rFonts w:hint="eastAsia" w:ascii="仿宋_GB2312" w:hAnsi="仿宋_GB2312" w:eastAsia="仿宋_GB2312"/>
          <w:color w:val="auto"/>
          <w:kern w:val="0"/>
          <w:sz w:val="32"/>
        </w:rPr>
        <w:t xml:space="preserve"> 注册在福建省内的</w:t>
      </w:r>
      <w:r>
        <w:rPr>
          <w:rFonts w:hint="eastAsia" w:ascii="仿宋_GB2312" w:hAnsi="仿宋_GB2312" w:eastAsia="仿宋_GB2312"/>
          <w:color w:val="auto"/>
          <w:sz w:val="32"/>
        </w:rPr>
        <w:t>非金融企业债务人可</w:t>
      </w:r>
      <w:r>
        <w:rPr>
          <w:rFonts w:hint="eastAsia" w:ascii="仿宋_GB2312" w:hAnsi="仿宋_GB2312" w:eastAsia="仿宋_GB2312"/>
          <w:color w:val="auto"/>
          <w:kern w:val="0"/>
          <w:sz w:val="32"/>
        </w:rPr>
        <w:t>在外债提款前持以下材料到福建省分局辖内银行办理外债签约（变更）登记手续：</w:t>
      </w:r>
    </w:p>
    <w:p>
      <w:pPr>
        <w:widowControl/>
        <w:tabs>
          <w:tab w:val="left" w:pos="411"/>
        </w:tabs>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1.《非金融企业外债登记申请表（宏观审慎模式）》（必要时附书面说明）。</w:t>
      </w:r>
    </w:p>
    <w:p>
      <w:pPr>
        <w:widowControl/>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2.加盖公章的外债合同主要条款复印件（境外发行债券的，需提供认购协议或全球债券证书等证明材料）。</w:t>
      </w:r>
    </w:p>
    <w:p>
      <w:pPr>
        <w:widowControl/>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 xml:space="preserve">3.上年度或最近一期经审计的财务报告。 </w:t>
      </w:r>
    </w:p>
    <w:p>
      <w:pPr>
        <w:widowControl/>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4.因当事各方、币种、金额、期限、利率、借款用途和适用法律等外债合同主要条款发生变化，需办理外债变更登记的，还需提供原《境内机构外债签约情况表》，并出示相关业务登记凭证。</w:t>
      </w:r>
    </w:p>
    <w:p>
      <w:pPr>
        <w:widowControl/>
        <w:numPr>
          <w:ilvl w:val="0"/>
          <w:numId w:val="0"/>
        </w:num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第五条</w:t>
      </w:r>
      <w:r>
        <w:rPr>
          <w:rFonts w:hint="eastAsia" w:ascii="仿宋_GB2312" w:hAnsi="仿宋_GB2312" w:eastAsia="仿宋_GB2312"/>
          <w:color w:val="auto"/>
          <w:kern w:val="0"/>
          <w:sz w:val="32"/>
        </w:rPr>
        <w:t xml:space="preserve"> 银行办理外债登记前，应勤勉尽责，遵循“了解客户”原则，审核非金融企业债务人主体资格，不得为房地产企业、地方政府融资平台等办理外债登记。同时核实非金融企业债务人实际情况、申请信息与系统信息是否一致，不一致的需核实原因，待相关信息一致后再办理新的登记业务。</w:t>
      </w:r>
    </w:p>
    <w:p>
      <w:pPr>
        <w:widowControl/>
        <w:numPr>
          <w:ilvl w:val="0"/>
          <w:numId w:val="0"/>
        </w:numPr>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银行为非金融企业债务人办理变更登记涉及提前还款的，须重新区分期限风险转换因子计算风险加权余额。</w:t>
      </w:r>
    </w:p>
    <w:p>
      <w:pPr>
        <w:numPr>
          <w:ilvl w:val="0"/>
          <w:numId w:val="0"/>
        </w:num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第六条</w:t>
      </w:r>
      <w:r>
        <w:rPr>
          <w:rFonts w:hint="eastAsia" w:ascii="仿宋_GB2312" w:hAnsi="仿宋_GB2312" w:eastAsia="仿宋_GB2312"/>
          <w:color w:val="auto"/>
          <w:kern w:val="0"/>
          <w:sz w:val="32"/>
        </w:rPr>
        <w:t xml:space="preserve"> 银行应通过资本项目信息系统办理外债签约（变更）登记，打印《境内机构外债签约情况表》和《业务登记凭证》并加盖银行业务印章后交给申请人。</w:t>
      </w:r>
    </w:p>
    <w:p>
      <w:pPr>
        <w:numPr>
          <w:ilvl w:val="0"/>
          <w:numId w:val="0"/>
        </w:num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第七条</w:t>
      </w:r>
      <w:r>
        <w:rPr>
          <w:rFonts w:hint="eastAsia" w:ascii="仿宋_GB2312" w:hAnsi="仿宋_GB2312" w:eastAsia="仿宋_GB2312"/>
          <w:color w:val="auto"/>
          <w:kern w:val="0"/>
          <w:sz w:val="32"/>
        </w:rPr>
        <w:t xml:space="preserve"> 对于境内非金融企业债务人向离岸银行借用的离岸贷款，视同外债管理，占用境内借款人的跨境融资风险加权余额上限。</w:t>
      </w:r>
    </w:p>
    <w:p>
      <w:pPr>
        <w:numPr>
          <w:ilvl w:val="0"/>
          <w:numId w:val="0"/>
        </w:numPr>
        <w:ind w:firstLine="640" w:firstLineChars="200"/>
        <w:rPr>
          <w:rFonts w:hint="default" w:ascii="宋体"/>
          <w:sz w:val="21"/>
        </w:rPr>
      </w:pPr>
      <w:r>
        <w:rPr>
          <w:rFonts w:hint="eastAsia" w:ascii="仿宋_GB2312" w:hAnsi="仿宋_GB2312" w:eastAsia="仿宋_GB2312"/>
          <w:color w:val="auto"/>
          <w:kern w:val="0"/>
          <w:sz w:val="32"/>
        </w:rPr>
        <w:t>非金融企业债务人向离岸银行借用离岸贷款的，债务人在所在地银行办理外债签约登记后，仍需在外债余额发生变动起15个工作日内到所在地外汇局办理非资金划转类提款/还本付息备案。</w:t>
      </w:r>
    </w:p>
    <w:p>
      <w:pPr>
        <w:numPr>
          <w:ilvl w:val="0"/>
          <w:numId w:val="0"/>
        </w:num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第八条</w:t>
      </w:r>
      <w:r>
        <w:rPr>
          <w:rFonts w:hint="eastAsia" w:ascii="仿宋_GB2312" w:hAnsi="仿宋_GB2312" w:eastAsia="仿宋_GB2312"/>
          <w:color w:val="auto"/>
          <w:kern w:val="0"/>
          <w:sz w:val="32"/>
        </w:rPr>
        <w:t xml:space="preserve"> 除另有规定外，境内非金融企业涉及真实跨境贸易产生的贸易信贷（包括应付和预收）和从境外金融机构获取的贸易融资，不纳入跨境融资风险加权余额计算，无需按照本实施细则办理外债登记。</w:t>
      </w:r>
    </w:p>
    <w:p>
      <w:p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第九条</w:t>
      </w:r>
      <w:r>
        <w:rPr>
          <w:rFonts w:hint="eastAsia" w:ascii="仿宋_GB2312" w:hAnsi="仿宋_GB2312" w:eastAsia="仿宋_GB2312"/>
          <w:color w:val="auto"/>
          <w:kern w:val="0"/>
          <w:sz w:val="32"/>
        </w:rPr>
        <w:t xml:space="preserve"> 非金融企业债务人借用外债，原则上应将所涉资金调回境内使用。</w:t>
      </w:r>
    </w:p>
    <w:p>
      <w:p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sz w:val="32"/>
        </w:rPr>
        <w:t>第十条</w:t>
      </w:r>
      <w:r>
        <w:rPr>
          <w:rFonts w:hint="eastAsia" w:ascii="仿宋_GB2312" w:hAnsi="仿宋_GB2312" w:eastAsia="仿宋_GB2312"/>
          <w:color w:val="auto"/>
          <w:sz w:val="32"/>
        </w:rPr>
        <w:t xml:space="preserve"> </w:t>
      </w:r>
      <w:r>
        <w:rPr>
          <w:rFonts w:hint="eastAsia" w:ascii="仿宋_GB2312" w:hAnsi="仿宋_GB2312" w:eastAsia="仿宋_GB2312"/>
          <w:color w:val="auto"/>
          <w:kern w:val="0"/>
          <w:sz w:val="32"/>
        </w:rPr>
        <w:t>非金融企业债务人可自行与境内银行等金融机构或境外债权银行签订以锁定外债还本付息风险为目的，与汇率或利率相关的保值交易合同，并办理交割。签订保值交易合同、办理保值交易合同交割时，非金融企业债务人的交易对手方、办理交割款项汇出的银行等，应当确认该笔交易具备合法、清晰的实盘背景。</w:t>
      </w:r>
    </w:p>
    <w:p>
      <w:pPr>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（1）非金融企业债务人获得的保值交易外汇收入，可直接到银行办理结汇或存入外债专用账户保留（国际收支申报时，无需填写相应外债业务编号）。</w:t>
      </w:r>
    </w:p>
    <w:p>
      <w:pPr>
        <w:ind w:firstLine="640" w:firstLineChars="200"/>
        <w:rPr>
          <w:rFonts w:hint="eastAsia" w:ascii="仿宋_GB2312" w:hAnsi="仿宋_GB2312" w:eastAsia="仿宋_GB2312"/>
          <w:color w:val="auto"/>
          <w:kern w:val="0"/>
          <w:sz w:val="32"/>
        </w:rPr>
      </w:pPr>
      <w:r>
        <w:rPr>
          <w:rFonts w:hint="eastAsia" w:ascii="仿宋_GB2312" w:hAnsi="仿宋_GB2312" w:eastAsia="仿宋_GB2312"/>
          <w:color w:val="auto"/>
          <w:kern w:val="0"/>
          <w:sz w:val="32"/>
        </w:rPr>
        <w:t>（2）非金融企业债务人可直接到银行购汇或使用自有外汇办理交割。</w:t>
      </w:r>
    </w:p>
    <w:p>
      <w:p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第十一条</w:t>
      </w:r>
      <w:r>
        <w:rPr>
          <w:rFonts w:hint="eastAsia" w:ascii="仿宋_GB2312" w:hAnsi="仿宋_GB2312" w:eastAsia="仿宋_GB2312"/>
          <w:color w:val="auto"/>
          <w:kern w:val="0"/>
          <w:sz w:val="32"/>
        </w:rPr>
        <w:t xml:space="preserve"> 非金融企业债务人购汇偿还外债，应遵循实需原则。</w:t>
      </w:r>
    </w:p>
    <w:p>
      <w:pPr>
        <w:ind w:firstLine="643" w:firstLineChars="200"/>
        <w:rPr>
          <w:rFonts w:hint="eastAsia" w:ascii="仿宋_GB2312" w:hAnsi="仿宋_GB2312" w:eastAsia="仿宋_GB2312"/>
          <w:color w:val="auto"/>
          <w:kern w:val="0"/>
          <w:sz w:val="32"/>
        </w:rPr>
      </w:pPr>
      <w:r>
        <w:rPr>
          <w:rFonts w:hint="eastAsia" w:ascii="仿宋_GB2312" w:hAnsi="仿宋_GB2312" w:eastAsia="仿宋_GB2312"/>
          <w:b/>
          <w:color w:val="auto"/>
          <w:kern w:val="0"/>
          <w:sz w:val="32"/>
        </w:rPr>
        <w:t>第十二条</w:t>
      </w:r>
      <w:r>
        <w:rPr>
          <w:rFonts w:hint="eastAsia" w:ascii="仿宋_GB2312" w:hAnsi="仿宋_GB2312" w:eastAsia="仿宋_GB2312"/>
          <w:color w:val="auto"/>
          <w:kern w:val="0"/>
          <w:sz w:val="32"/>
        </w:rPr>
        <w:t xml:space="preserve"> 外汇局负责对辖内银行办理的外债签约（变更）登记进行统计监测和业务核查。如有疑问或发生</w:t>
      </w:r>
      <w:r>
        <w:rPr>
          <w:rFonts w:hint="eastAsia" w:eastAsia="仿宋_GB2312"/>
          <w:color w:val="auto"/>
          <w:sz w:val="32"/>
        </w:rPr>
        <w:t>重大事项和异常情况的，银行应及时向外汇局报告。</w:t>
      </w:r>
    </w:p>
    <w:p>
      <w:pPr>
        <w:ind w:firstLine="640" w:firstLineChars="200"/>
        <w:rPr>
          <w:rFonts w:hint="default" w:ascii="Arial" w:hAnsi="Arial" w:eastAsia="仿宋_GB2312"/>
          <w:color w:val="auto"/>
          <w:kern w:val="0"/>
          <w:sz w:val="32"/>
        </w:rPr>
        <w:sectPr>
          <w:headerReference r:id="rId3" w:type="default"/>
          <w:footerReference r:id="rId4" w:type="default"/>
          <w:pgSz w:w="11906" w:h="16838"/>
          <w:pgMar w:top="1440" w:right="1800" w:bottom="1440" w:left="1800" w:header="851" w:footer="992" w:gutter="0"/>
          <w:lnNumType w:countBy="0" w:distance="360"/>
          <w:cols w:space="720" w:num="1"/>
          <w:docGrid w:type="lines" w:linePitch="312" w:charSpace="0"/>
        </w:sectPr>
      </w:pPr>
    </w:p>
    <w:p>
      <w:pPr>
        <w:widowControl/>
        <w:jc w:val="left"/>
        <w:rPr>
          <w:rFonts w:hint="default" w:ascii="宋体" w:hAnsi="宋体"/>
          <w:b/>
          <w:sz w:val="28"/>
        </w:rPr>
      </w:pPr>
      <w:r>
        <w:rPr>
          <w:rFonts w:hint="default" w:ascii="宋体"/>
          <w:color w:val="auto"/>
          <w:kern w:val="0"/>
          <w:sz w:val="28"/>
        </w:rPr>
        <w:t>附表</w:t>
      </w:r>
    </w:p>
    <w:p>
      <w:pPr>
        <w:widowControl/>
        <w:snapToGrid w:val="0"/>
        <w:jc w:val="center"/>
        <w:rPr>
          <w:rFonts w:hint="default" w:ascii="宋体" w:hAnsi="宋体"/>
          <w:b/>
          <w:sz w:val="32"/>
        </w:rPr>
      </w:pPr>
      <w:r>
        <w:rPr>
          <w:rFonts w:hint="default" w:ascii="宋体" w:hAnsi="宋体"/>
          <w:b/>
          <w:sz w:val="32"/>
        </w:rPr>
        <w:t>非金融企业外债登记申请表</w:t>
      </w:r>
    </w:p>
    <w:p>
      <w:pPr>
        <w:widowControl/>
        <w:snapToGrid w:val="0"/>
        <w:jc w:val="center"/>
        <w:rPr>
          <w:rFonts w:hint="default" w:ascii="宋体" w:hAnsi="宋体"/>
          <w:b/>
          <w:kern w:val="0"/>
          <w:sz w:val="36"/>
        </w:rPr>
      </w:pPr>
      <w:r>
        <w:rPr>
          <w:rFonts w:hint="default" w:ascii="宋体" w:hAnsi="宋体"/>
          <w:b/>
          <w:sz w:val="32"/>
        </w:rPr>
        <w:t>（宏观审慎模式）</w:t>
      </w:r>
    </w:p>
    <w:p>
      <w:pPr>
        <w:ind w:firstLine="6195" w:firstLineChars="2950"/>
        <w:rPr>
          <w:rFonts w:hint="default" w:ascii="宋体" w:hAnsi="宋体"/>
          <w:sz w:val="21"/>
        </w:rPr>
      </w:pPr>
    </w:p>
    <w:tbl>
      <w:tblPr>
        <w:tblStyle w:val="8"/>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1"/>
        <w:gridCol w:w="1108"/>
        <w:gridCol w:w="28"/>
        <w:gridCol w:w="10"/>
        <w:gridCol w:w="410"/>
        <w:gridCol w:w="948"/>
        <w:gridCol w:w="629"/>
        <w:gridCol w:w="58"/>
        <w:gridCol w:w="75"/>
        <w:gridCol w:w="15"/>
        <w:gridCol w:w="15"/>
        <w:gridCol w:w="100"/>
        <w:gridCol w:w="948"/>
        <w:gridCol w:w="619"/>
        <w:gridCol w:w="13"/>
        <w:gridCol w:w="11"/>
        <w:gridCol w:w="65"/>
        <w:gridCol w:w="25"/>
        <w:gridCol w:w="900"/>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外债编号（变更登记时填写）：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债务人基本信息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trPr>
        <w:tc>
          <w:tcPr>
            <w:tcW w:w="18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统一社会信用代码</w:t>
            </w:r>
          </w:p>
        </w:tc>
        <w:tc>
          <w:tcPr>
            <w:tcW w:w="6635" w:type="dxa"/>
            <w:gridSpan w:val="1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18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债务人名称</w:t>
            </w:r>
          </w:p>
        </w:tc>
        <w:tc>
          <w:tcPr>
            <w:tcW w:w="1997"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1854"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债务人类型</w:t>
            </w:r>
          </w:p>
        </w:tc>
        <w:tc>
          <w:tcPr>
            <w:tcW w:w="2784"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left"/>
              <w:outlineLvl w:val="0"/>
              <w:rPr>
                <w:rFonts w:hint="default" w:ascii="宋体" w:hAnsi="宋体"/>
                <w:sz w:val="24"/>
              </w:rPr>
            </w:pPr>
            <w:r>
              <w:rPr>
                <w:rFonts w:hint="default" w:ascii="宋体" w:hAnsi="宋体"/>
                <w:b/>
                <w:sz w:val="24"/>
              </w:rPr>
              <w:t>债权人基本信息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18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r>
              <w:rPr>
                <w:rFonts w:hint="default" w:ascii="宋体" w:hAnsi="宋体"/>
                <w:sz w:val="24"/>
              </w:rPr>
              <w:t>债权人名称</w:t>
            </w:r>
          </w:p>
        </w:tc>
        <w:tc>
          <w:tcPr>
            <w:tcW w:w="205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785"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r>
              <w:rPr>
                <w:rFonts w:hint="default" w:ascii="宋体" w:hAnsi="宋体"/>
                <w:sz w:val="24"/>
              </w:rPr>
              <w:t>债权人类型</w:t>
            </w:r>
          </w:p>
        </w:tc>
        <w:tc>
          <w:tcPr>
            <w:tcW w:w="2795"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trPr>
        <w:tc>
          <w:tcPr>
            <w:tcW w:w="18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债权人总部所在国家（地区）</w:t>
            </w:r>
          </w:p>
        </w:tc>
        <w:tc>
          <w:tcPr>
            <w:tcW w:w="2055"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785" w:type="dxa"/>
            <w:gridSpan w:val="7"/>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keepLines/>
              <w:spacing w:line="320" w:lineRule="exact"/>
              <w:outlineLvl w:val="0"/>
              <w:rPr>
                <w:rFonts w:hint="default" w:ascii="宋体" w:hAnsi="宋体"/>
                <w:sz w:val="24"/>
              </w:rPr>
            </w:pPr>
            <w:r>
              <w:rPr>
                <w:rFonts w:hint="default" w:ascii="宋体" w:hAnsi="宋体"/>
                <w:sz w:val="24"/>
              </w:rPr>
              <w:t>债权人经营地所在国家（地区）</w:t>
            </w:r>
          </w:p>
        </w:tc>
        <w:tc>
          <w:tcPr>
            <w:tcW w:w="2795" w:type="dxa"/>
            <w:gridSpan w:val="5"/>
            <w:tcBorders>
              <w:top w:val="single" w:color="000000" w:sz="4" w:space="0"/>
              <w:left w:val="single" w:color="auto"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rPr>
                <w:rFonts w:hint="default" w:ascii="宋体" w:hAnsi="宋体"/>
                <w:b/>
                <w:sz w:val="24"/>
              </w:rPr>
            </w:pPr>
            <w:r>
              <w:rPr>
                <w:rFonts w:hint="default" w:ascii="宋体" w:hAnsi="宋体"/>
                <w:b/>
                <w:sz w:val="24"/>
              </w:rPr>
              <w:t>二、本笔跨境融资信息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签约币种</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697"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本笔跨境融资签约额</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债务类型</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697" w:type="dxa"/>
            <w:gridSpan w:val="5"/>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签约日</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起息日</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697" w:type="dxa"/>
            <w:gridSpan w:val="5"/>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到期日</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本笔跨境融资年利率</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697" w:type="dxa"/>
            <w:gridSpan w:val="5"/>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是否浮动利率</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是否循环类贷款</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pacing w:val="-9"/>
                <w:sz w:val="18"/>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c>
          <w:tcPr>
            <w:tcW w:w="1697"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是否存在提前还款条款</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是否有利息本金化条款</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c>
          <w:tcPr>
            <w:tcW w:w="1697"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是否有交叉违约条款</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是否存在加速到期条款</w:t>
            </w:r>
          </w:p>
        </w:tc>
        <w:tc>
          <w:tcPr>
            <w:tcW w:w="2130" w:type="dxa"/>
            <w:gridSpan w:val="6"/>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c>
          <w:tcPr>
            <w:tcW w:w="1697" w:type="dxa"/>
            <w:gridSpan w:val="5"/>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是否外保内贷履约</w:t>
            </w:r>
          </w:p>
        </w:tc>
        <w:tc>
          <w:tcPr>
            <w:tcW w:w="2808" w:type="dxa"/>
            <w:gridSpan w:val="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是否为境内银行离岸部贷款</w:t>
            </w:r>
          </w:p>
        </w:tc>
        <w:tc>
          <w:tcPr>
            <w:tcW w:w="6635" w:type="dxa"/>
            <w:gridSpan w:val="1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rPr>
                <w:rFonts w:hint="default" w:ascii="宋体" w:hAnsi="宋体"/>
                <w:sz w:val="24"/>
              </w:rPr>
            </w:pPr>
            <w:r>
              <w:rPr>
                <w:rFonts w:hint="default" w:ascii="宋体" w:hAnsi="宋体"/>
                <w:sz w:val="24"/>
              </w:rPr>
              <w:t>是否占用外债额度</w:t>
            </w:r>
          </w:p>
        </w:tc>
        <w:tc>
          <w:tcPr>
            <w:tcW w:w="2160" w:type="dxa"/>
            <w:gridSpan w:val="8"/>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pacing w:val="-9"/>
                <w:sz w:val="18"/>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c>
          <w:tcPr>
            <w:tcW w:w="1680" w:type="dxa"/>
            <w:gridSpan w:val="4"/>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pacing w:val="-9"/>
                <w:sz w:val="18"/>
              </w:rPr>
            </w:pPr>
            <w:r>
              <w:rPr>
                <w:rFonts w:hint="default" w:ascii="宋体" w:hAnsi="宋体"/>
                <w:sz w:val="24"/>
              </w:rPr>
              <w:t>豁免类型</w:t>
            </w:r>
          </w:p>
        </w:tc>
        <w:tc>
          <w:tcPr>
            <w:tcW w:w="2795" w:type="dxa"/>
            <w:gridSpan w:val="5"/>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47" w:type="dxa"/>
            <w:gridSpan w:val="4"/>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是否内保外贷资金调回境内</w:t>
            </w:r>
          </w:p>
        </w:tc>
        <w:tc>
          <w:tcPr>
            <w:tcW w:w="6625" w:type="dxa"/>
            <w:gridSpan w:val="16"/>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pacing w:val="-9"/>
                <w:sz w:val="18"/>
              </w:rPr>
            </w:pPr>
            <w:r>
              <w:rPr>
                <w:rFonts w:hint="default" w:ascii="宋体" w:hAnsi="宋体"/>
                <w:sz w:val="24"/>
              </w:rPr>
              <w:t>内保外贷业务编号</w:t>
            </w:r>
          </w:p>
        </w:tc>
        <w:tc>
          <w:tcPr>
            <w:tcW w:w="2055" w:type="dxa"/>
            <w:gridSpan w:val="5"/>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pacing w:val="-9"/>
                <w:sz w:val="18"/>
              </w:rPr>
            </w:pPr>
          </w:p>
        </w:tc>
        <w:tc>
          <w:tcPr>
            <w:tcW w:w="1785" w:type="dxa"/>
            <w:gridSpan w:val="7"/>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pacing w:val="-9"/>
                <w:sz w:val="18"/>
              </w:rPr>
            </w:pPr>
            <w:r>
              <w:rPr>
                <w:rFonts w:hint="default" w:ascii="宋体" w:hAnsi="宋体"/>
                <w:sz w:val="24"/>
              </w:rPr>
              <w:t>调回金额占比（%）</w:t>
            </w:r>
          </w:p>
        </w:tc>
        <w:tc>
          <w:tcPr>
            <w:tcW w:w="2795" w:type="dxa"/>
            <w:gridSpan w:val="5"/>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跨境融资资金用途</w:t>
            </w:r>
          </w:p>
        </w:tc>
        <w:tc>
          <w:tcPr>
            <w:tcW w:w="6635" w:type="dxa"/>
            <w:gridSpan w:val="17"/>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37" w:type="dxa"/>
            <w:gridSpan w:val="3"/>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跨境融资还款来源</w:t>
            </w:r>
          </w:p>
        </w:tc>
        <w:tc>
          <w:tcPr>
            <w:tcW w:w="6635" w:type="dxa"/>
            <w:gridSpan w:val="17"/>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pacing w:val="-9"/>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三、跨境融资风险加权余额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跨境融资风险加权余额上限（单位：万元人民币）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18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净资产</w:t>
            </w:r>
          </w:p>
        </w:tc>
        <w:tc>
          <w:tcPr>
            <w:tcW w:w="2173" w:type="dxa"/>
            <w:gridSpan w:val="8"/>
            <w:tcBorders>
              <w:top w:val="single" w:color="000000" w:sz="4" w:space="0"/>
              <w:left w:val="single" w:color="000000" w:sz="4" w:space="0"/>
              <w:bottom w:val="single" w:color="000000" w:sz="4" w:space="0"/>
              <w:right w:val="single" w:color="auto" w:sz="4" w:space="0"/>
              <w:tl2br w:val="nil"/>
              <w:tr2bl w:val="nil"/>
            </w:tcBorders>
            <w:noWrap w:val="0"/>
            <w:vAlign w:val="center"/>
          </w:tcPr>
          <w:p>
            <w:pPr>
              <w:spacing w:line="320" w:lineRule="exact"/>
              <w:jc w:val="center"/>
              <w:rPr>
                <w:rFonts w:hint="default" w:ascii="宋体" w:hAnsi="宋体"/>
                <w:sz w:val="24"/>
              </w:rPr>
            </w:pPr>
          </w:p>
        </w:tc>
        <w:tc>
          <w:tcPr>
            <w:tcW w:w="1796" w:type="dxa"/>
            <w:gridSpan w:val="8"/>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跨境融资风险加权余额上限</w:t>
            </w:r>
          </w:p>
        </w:tc>
        <w:tc>
          <w:tcPr>
            <w:tcW w:w="2694" w:type="dxa"/>
            <w:gridSpan w:val="2"/>
            <w:tcBorders>
              <w:top w:val="single" w:color="000000" w:sz="4" w:space="0"/>
              <w:left w:val="single" w:color="auto"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b/>
                <w:sz w:val="24"/>
              </w:rPr>
            </w:pPr>
            <w:r>
              <w:rPr>
                <w:rFonts w:hint="default" w:ascii="宋体" w:hAnsi="宋体"/>
                <w:b/>
                <w:sz w:val="24"/>
              </w:rPr>
              <w:t>跨境融资风险加权余额（单位：万元人民币）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2"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宋体" w:hAnsi="宋体"/>
                <w:sz w:val="24"/>
              </w:rPr>
            </w:pPr>
            <w:r>
              <w:rPr>
                <w:rFonts w:hint="default" w:ascii="宋体" w:hAnsi="宋体"/>
                <w:sz w:val="24"/>
              </w:rPr>
              <w:t>中长期</w:t>
            </w: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宋体" w:hAnsi="宋体"/>
                <w:sz w:val="24"/>
              </w:rPr>
            </w:pPr>
            <w:r>
              <w:rPr>
                <w:rFonts w:hint="default" w:ascii="宋体" w:hAnsi="宋体"/>
                <w:sz w:val="24"/>
              </w:rPr>
              <w:t>短期</w:t>
            </w: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sz w:val="21"/>
              </w:rPr>
            </w:pPr>
            <w:r>
              <w:rPr>
                <w:rFonts w:hint="default" w:ascii="宋体" w:hAnsi="宋体"/>
                <w:sz w:val="24"/>
              </w:rPr>
              <w:t>外币余额折人民币金额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现有跨境融资余额</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3"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本笔跨境融资签约额</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4" w:hRule="atLeast"/>
        </w:trPr>
        <w:tc>
          <w:tcPr>
            <w:tcW w:w="70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不纳入计算的业务类型</w:t>
            </w:r>
          </w:p>
        </w:tc>
        <w:tc>
          <w:tcPr>
            <w:tcW w:w="155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宋体" w:hAnsi="宋体"/>
                <w:sz w:val="24"/>
              </w:rPr>
            </w:pPr>
            <w:r>
              <w:rPr>
                <w:rFonts w:hint="default" w:ascii="宋体" w:hAnsi="宋体"/>
                <w:sz w:val="24"/>
              </w:rPr>
              <w:t>中长期余额</w:t>
            </w: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240" w:lineRule="exact"/>
              <w:jc w:val="center"/>
              <w:rPr>
                <w:rFonts w:hint="default" w:ascii="宋体" w:hAnsi="宋体"/>
                <w:sz w:val="24"/>
              </w:rPr>
            </w:pPr>
            <w:r>
              <w:rPr>
                <w:rFonts w:hint="default" w:ascii="宋体" w:hAnsi="宋体"/>
                <w:sz w:val="24"/>
              </w:rPr>
              <w:t>短期余额</w:t>
            </w: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default" w:ascii="宋体" w:hAnsi="宋体"/>
                <w:sz w:val="21"/>
              </w:rPr>
            </w:pPr>
            <w:r>
              <w:rPr>
                <w:rFonts w:hint="default" w:ascii="宋体" w:hAnsi="宋体"/>
                <w:sz w:val="24"/>
              </w:rPr>
              <w:t>外币余额折人民币金额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1" w:hRule="atLeast"/>
        </w:trPr>
        <w:tc>
          <w:tcPr>
            <w:tcW w:w="70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55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熊猫债</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trPr>
        <w:tc>
          <w:tcPr>
            <w:tcW w:w="70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55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 w:hRule="atLeast"/>
        </w:trPr>
        <w:tc>
          <w:tcPr>
            <w:tcW w:w="70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55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纳入计算的余额</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1656"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c>
          <w:tcPr>
            <w:tcW w:w="2719"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2257"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跨境融资风险加权余额</w:t>
            </w:r>
          </w:p>
        </w:tc>
        <w:tc>
          <w:tcPr>
            <w:tcW w:w="6215" w:type="dxa"/>
            <w:gridSpan w:val="15"/>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keepLines/>
              <w:spacing w:line="320" w:lineRule="exact"/>
              <w:jc w:val="center"/>
              <w:outlineLvl w:val="0"/>
              <w:rPr>
                <w:rFonts w:hint="default"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3205"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z w:val="24"/>
              </w:rPr>
              <w:t>跨境融资风险加权余额上限与跨境融资风险加权余额之差额</w:t>
            </w:r>
          </w:p>
        </w:tc>
        <w:tc>
          <w:tcPr>
            <w:tcW w:w="1840" w:type="dxa"/>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ind w:firstLine="480" w:firstLineChars="200"/>
              <w:jc w:val="left"/>
              <w:rPr>
                <w:rFonts w:hint="default" w:ascii="宋体" w:hAnsi="宋体"/>
                <w:sz w:val="24"/>
              </w:rPr>
            </w:pPr>
          </w:p>
        </w:tc>
        <w:tc>
          <w:tcPr>
            <w:tcW w:w="1633"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center"/>
              <w:rPr>
                <w:rFonts w:hint="default" w:ascii="宋体" w:hAnsi="宋体"/>
                <w:sz w:val="24"/>
              </w:rPr>
            </w:pPr>
            <w:r>
              <w:rPr>
                <w:rFonts w:hint="default" w:ascii="宋体" w:hAnsi="宋体"/>
                <w:sz w:val="24"/>
              </w:rPr>
              <w:t>是否超上限</w:t>
            </w:r>
          </w:p>
        </w:tc>
        <w:tc>
          <w:tcPr>
            <w:tcW w:w="179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jc w:val="left"/>
              <w:rPr>
                <w:rFonts w:hint="default" w:ascii="宋体" w:hAnsi="宋体"/>
                <w:sz w:val="24"/>
              </w:rPr>
            </w:pPr>
            <w:r>
              <w:rPr>
                <w:rFonts w:hint="default" w:ascii="宋体" w:hAnsi="宋体"/>
                <w:spacing w:val="-9"/>
                <w:sz w:val="18"/>
              </w:rPr>
              <w:t>□</w:t>
            </w:r>
            <w:r>
              <w:rPr>
                <w:rFonts w:hint="default" w:ascii="宋体" w:hAnsi="宋体"/>
                <w:sz w:val="24"/>
              </w:rPr>
              <w:t xml:space="preserve"> 是  </w:t>
            </w:r>
            <w:r>
              <w:rPr>
                <w:rFonts w:hint="default" w:ascii="宋体" w:hAnsi="宋体"/>
                <w:spacing w:val="-9"/>
                <w:sz w:val="18"/>
              </w:rPr>
              <w:t>□</w:t>
            </w:r>
            <w:r>
              <w:rPr>
                <w:rFonts w:hint="default" w:ascii="宋体" w:hAnsi="宋体"/>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8472" w:type="dxa"/>
            <w:gridSpan w:val="20"/>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320" w:lineRule="exact"/>
              <w:ind w:firstLine="324" w:firstLineChars="200"/>
              <w:jc w:val="left"/>
              <w:rPr>
                <w:rFonts w:hint="default" w:ascii="宋体" w:hAnsi="宋体"/>
                <w:sz w:val="24"/>
              </w:rPr>
            </w:pPr>
            <w:r>
              <w:rPr>
                <w:rFonts w:hint="default" w:ascii="宋体" w:hAnsi="宋体"/>
                <w:spacing w:val="-9"/>
                <w:sz w:val="18"/>
              </w:rPr>
              <w:t xml:space="preserve">□ </w:t>
            </w:r>
            <w:r>
              <w:rPr>
                <w:rFonts w:hint="default" w:ascii="宋体" w:hAnsi="宋体"/>
                <w:sz w:val="24"/>
              </w:rPr>
              <w:t>本企业所填写的《非金融企业外债登记申请表（宏观审慎模式）》中各项内容及所提交的所有书面材料均真实有效，所有复印件与原件相同，本机构将严格按照相关规定认真履行相关职责，并及时准确地报送相关信息，否则本企业及其法定代表人将承担由此而导致的一切后果。</w:t>
            </w:r>
          </w:p>
          <w:p>
            <w:pPr>
              <w:spacing w:line="320" w:lineRule="exact"/>
              <w:ind w:firstLine="480" w:firstLineChars="200"/>
              <w:jc w:val="left"/>
              <w:rPr>
                <w:rFonts w:hint="default" w:ascii="宋体" w:hAnsi="宋体"/>
                <w:sz w:val="24"/>
              </w:rPr>
            </w:pPr>
            <w:r>
              <w:rPr>
                <w:rFonts w:hint="default" w:ascii="宋体" w:hAnsi="宋体"/>
                <w:sz w:val="24"/>
              </w:rPr>
              <w:t xml:space="preserve">                                  </w:t>
            </w:r>
          </w:p>
          <w:p>
            <w:pPr>
              <w:spacing w:line="320" w:lineRule="exact"/>
              <w:ind w:firstLine="6480" w:firstLineChars="2700"/>
              <w:jc w:val="left"/>
              <w:rPr>
                <w:rFonts w:hint="default" w:ascii="宋体" w:hAnsi="宋体"/>
                <w:sz w:val="24"/>
              </w:rPr>
            </w:pPr>
            <w:r>
              <w:rPr>
                <w:rFonts w:hint="default" w:ascii="宋体" w:hAnsi="宋体"/>
                <w:sz w:val="24"/>
              </w:rPr>
              <w:t>（公章）</w:t>
            </w:r>
          </w:p>
        </w:tc>
      </w:tr>
    </w:tbl>
    <w:p>
      <w:pPr>
        <w:rPr>
          <w:rFonts w:hint="default" w:ascii="宋体" w:hAnsi="宋体"/>
          <w:sz w:val="24"/>
        </w:rPr>
      </w:pPr>
      <w:r>
        <w:rPr>
          <w:rFonts w:hint="default" w:ascii="宋体" w:hAnsi="宋体"/>
          <w:sz w:val="24"/>
        </w:rPr>
        <w:t>联系人：             联系电话：               填表时间：   年   月   日</w:t>
      </w:r>
    </w:p>
    <w:p>
      <w:pPr>
        <w:widowControl/>
        <w:jc w:val="left"/>
        <w:rPr>
          <w:rFonts w:hint="eastAsia" w:ascii="仿宋_GB2312" w:hAnsi="宋体" w:eastAsia="仿宋_GB2312"/>
          <w:b/>
          <w:sz w:val="22"/>
        </w:rPr>
      </w:pPr>
      <w:r>
        <w:rPr>
          <w:rFonts w:hint="default" w:ascii="宋体" w:hAnsi="宋体"/>
          <w:sz w:val="24"/>
        </w:rPr>
        <w:br w:type="page"/>
      </w:r>
      <w:r>
        <w:rPr>
          <w:rFonts w:hint="eastAsia" w:ascii="仿宋_GB2312" w:hAnsi="宋体" w:eastAsia="仿宋_GB2312"/>
          <w:b/>
          <w:sz w:val="22"/>
        </w:rPr>
        <w:t>填表说明：</w:t>
      </w:r>
    </w:p>
    <w:p>
      <w:pPr>
        <w:pStyle w:val="6"/>
        <w:rPr>
          <w:rFonts w:hint="default" w:hAnsi="宋体"/>
          <w:sz w:val="21"/>
        </w:rPr>
      </w:pPr>
      <w:r>
        <w:rPr>
          <w:rFonts w:hint="default" w:hAnsi="宋体"/>
          <w:sz w:val="21"/>
        </w:rPr>
        <w:t>1.外币跨境融资以签约日的汇率水平折算。</w:t>
      </w:r>
    </w:p>
    <w:p>
      <w:pPr>
        <w:widowControl/>
        <w:jc w:val="left"/>
        <w:rPr>
          <w:rFonts w:hint="default" w:ascii="宋体" w:hAnsi="宋体"/>
          <w:sz w:val="21"/>
        </w:rPr>
      </w:pPr>
      <w:r>
        <w:rPr>
          <w:rStyle w:val="10"/>
          <w:rFonts w:hint="default" w:ascii="宋体" w:hAnsi="宋体"/>
          <w:kern w:val="0"/>
          <w:sz w:val="21"/>
          <w:vertAlign w:val="baseline"/>
        </w:rPr>
        <w:t>2.</w:t>
      </w:r>
      <w:r>
        <w:rPr>
          <w:rFonts w:hint="default" w:ascii="宋体" w:hAnsi="宋体"/>
          <w:kern w:val="0"/>
          <w:sz w:val="21"/>
        </w:rPr>
        <w:t>“债</w:t>
      </w:r>
      <w:r>
        <w:rPr>
          <w:rFonts w:hint="default" w:ascii="宋体" w:hAnsi="宋体"/>
          <w:sz w:val="21"/>
        </w:rPr>
        <w:t>务人类型”请按以下分类填写：“国有企业”、“民营企业”、“其他中资企业”、“独资企业”、“合资企业”、“合作企业”。</w:t>
      </w:r>
    </w:p>
    <w:p>
      <w:pPr>
        <w:widowControl/>
        <w:jc w:val="left"/>
        <w:rPr>
          <w:rFonts w:hint="default" w:ascii="宋体" w:hAnsi="宋体"/>
          <w:sz w:val="21"/>
        </w:rPr>
      </w:pPr>
      <w:r>
        <w:rPr>
          <w:rFonts w:hint="default" w:ascii="宋体" w:hAnsi="宋体"/>
          <w:sz w:val="21"/>
        </w:rPr>
        <w:t>3.“债务类型”请按以下分类填写：“从境外母公司贷款”、“从境外子公司贷款”、“从联属企业贷款”、“非股东及非关联企业贷款”、“境外金融机构贷款”、“银团贷款”、“补偿贸易中需现汇偿还的债务”、“债券和票据”、“融资租赁”、“其他贷款”。</w:t>
      </w:r>
    </w:p>
    <w:p>
      <w:pPr>
        <w:widowControl/>
        <w:jc w:val="left"/>
        <w:rPr>
          <w:rFonts w:hint="default" w:ascii="宋体" w:hAnsi="宋体"/>
          <w:sz w:val="21"/>
        </w:rPr>
      </w:pPr>
      <w:r>
        <w:rPr>
          <w:rFonts w:hint="default" w:ascii="宋体" w:hAnsi="宋体"/>
          <w:sz w:val="21"/>
        </w:rPr>
        <w:t>4.“豁免类型”仅“是否占用外债额度”选择为“否”时，需按以下分类填写：“自用熊猫债”、“其他豁免”。</w:t>
      </w:r>
    </w:p>
    <w:p>
      <w:pPr>
        <w:widowControl/>
        <w:jc w:val="left"/>
        <w:rPr>
          <w:rFonts w:hint="default" w:ascii="宋体" w:hAnsi="宋体"/>
          <w:sz w:val="21"/>
        </w:rPr>
      </w:pPr>
      <w:r>
        <w:rPr>
          <w:rFonts w:hint="default" w:ascii="宋体" w:hAnsi="宋体"/>
          <w:sz w:val="21"/>
        </w:rPr>
        <w:t>5.“内保外贷业务编号”及“调回金额占比‘%’”仅“是否内保外贷资金调回境内”选择为“是”时需填写。</w:t>
      </w:r>
    </w:p>
    <w:p>
      <w:pPr>
        <w:pStyle w:val="6"/>
        <w:rPr>
          <w:rFonts w:hint="default" w:hAnsi="宋体"/>
          <w:sz w:val="21"/>
        </w:rPr>
      </w:pPr>
      <w:r>
        <w:rPr>
          <w:rFonts w:hint="default" w:hAnsi="宋体"/>
          <w:sz w:val="21"/>
        </w:rPr>
        <w:t>6.“净资产”根据债务人上年度或最近一期经审计的财务报告填写。</w:t>
      </w:r>
    </w:p>
    <w:p>
      <w:pPr>
        <w:pStyle w:val="6"/>
        <w:rPr>
          <w:rFonts w:hint="default" w:hAnsi="宋体"/>
          <w:sz w:val="21"/>
        </w:rPr>
      </w:pPr>
      <w:r>
        <w:rPr>
          <w:rStyle w:val="10"/>
          <w:rFonts w:hint="default" w:hAnsi="宋体"/>
          <w:sz w:val="21"/>
          <w:vertAlign w:val="baseline"/>
        </w:rPr>
        <w:t>7.</w:t>
      </w:r>
      <w:r>
        <w:rPr>
          <w:rFonts w:hint="default" w:hAnsi="宋体"/>
          <w:sz w:val="21"/>
        </w:rPr>
        <w:t>“跨境融资风险加权余额上限”=净资产×跨境融资杠杆率×宏观审慎调节参数。</w:t>
      </w:r>
    </w:p>
    <w:p>
      <w:pPr>
        <w:pStyle w:val="6"/>
        <w:rPr>
          <w:rFonts w:hint="default" w:hAnsi="宋体"/>
          <w:sz w:val="21"/>
        </w:rPr>
      </w:pPr>
      <w:r>
        <w:rPr>
          <w:rFonts w:hint="default" w:hAnsi="宋体"/>
          <w:sz w:val="21"/>
        </w:rPr>
        <w:t>8.计算跨境融资风险加权余额占用情况时，已进行全额提款的非循环类贷款按未偿本金余额占用跨境融资风险加权余额；由于外保内贷履约形成的对外负债按履约额占用跨境融资风险加权余额；其他外债（循环贷款、未提款或部分提款的非循环贷款，含正在申请登记的本笔外债）按签约额占用跨境融资风险加权余额。</w:t>
      </w:r>
    </w:p>
    <w:p>
      <w:pPr>
        <w:pStyle w:val="6"/>
        <w:rPr>
          <w:rFonts w:hint="default" w:hAnsi="宋体"/>
          <w:sz w:val="22"/>
        </w:rPr>
      </w:pPr>
      <w:r>
        <w:rPr>
          <w:rFonts w:hint="default" w:hAnsi="宋体"/>
          <w:sz w:val="21"/>
        </w:rPr>
        <w:t>9.跨境融资风险加权余额=∑本外币跨境融资余额×期限风险转换因子+∑外币跨境融资余额×汇率风险折算因子。期限风险转换因子按照签约期限确定，还款期限在1年（不含）以上的中长期跨境融资、还款期限在1年（含）以下的短期跨境融资期限风险转换因子分别为1、1.5；汇率风险折算因子为0.5。外债合同中包含提前还款条款的，除非提前还款条款明确在合同签约一年后方可提前还款，该合同对应的外债金额全部视同短期跨境融资适用期限风险转换因子。</w:t>
      </w:r>
    </w:p>
    <w:p>
      <w:pPr>
        <w:rPr>
          <w:rFonts w:hint="default" w:ascii="宋体"/>
          <w:sz w:val="21"/>
        </w:rPr>
      </w:pPr>
    </w:p>
    <w:p>
      <w:pPr>
        <w:rPr>
          <w:rFonts w:hint="default" w:ascii="宋体"/>
          <w:color w:val="auto"/>
          <w:sz w:val="21"/>
        </w:rPr>
      </w:pPr>
    </w:p>
    <w:p>
      <w:pPr>
        <w:rPr>
          <w:rFonts w:hint="eastAsia" w:ascii="仿宋_GB2312" w:hAnsi="仿宋_GB2312" w:eastAsia="仿宋_GB2312"/>
          <w:sz w:val="32"/>
        </w:rPr>
      </w:pPr>
      <w:r>
        <w:rPr>
          <w:rFonts w:hint="eastAsia" w:ascii="仿宋_GB2312" w:hAnsi="仿宋_GB2312" w:eastAsia="仿宋_GB2312"/>
          <w:sz w:val="32"/>
        </w:rPr>
        <w:br w:type="page"/>
      </w:r>
    </w:p>
    <w:p>
      <w:pPr>
        <w:adjustRightInd w:val="0"/>
        <w:snapToGrid w:val="0"/>
        <w:spacing w:beforeLines="0" w:afterLines="0" w:line="560" w:lineRule="exact"/>
        <w:rPr>
          <w:rFonts w:hint="eastAsia" w:ascii="仿宋_GB2312" w:hAnsi="仿宋_GB2312" w:eastAsia="仿宋_GB2312"/>
          <w:color w:val="auto"/>
          <w:sz w:val="32"/>
          <w:u w:val="none" w:color="auto"/>
          <w:lang w:eastAsia="zh-CN"/>
        </w:rPr>
      </w:pPr>
      <w:r>
        <w:rPr>
          <w:rFonts w:hint="eastAsia" w:ascii="仿宋_GB2312" w:hAnsi="仿宋_GB2312" w:eastAsia="仿宋_GB2312"/>
          <w:color w:val="auto"/>
          <w:sz w:val="32"/>
          <w:u w:val="none" w:color="auto"/>
        </w:rPr>
        <w:t>附</w:t>
      </w:r>
      <w:r>
        <w:rPr>
          <w:rFonts w:hint="eastAsia" w:ascii="仿宋_GB2312" w:hAnsi="仿宋_GB2312" w:eastAsia="仿宋_GB2312"/>
          <w:color w:val="auto"/>
          <w:sz w:val="32"/>
          <w:u w:val="none" w:color="auto"/>
          <w:lang w:val="en-US" w:eastAsia="zh-CN"/>
        </w:rPr>
        <w:t>4</w:t>
      </w:r>
    </w:p>
    <w:p>
      <w:pPr>
        <w:jc w:val="center"/>
        <w:rPr>
          <w:rFonts w:hint="eastAsia" w:ascii="黑体" w:hAnsi="黑体" w:eastAsia="黑体"/>
          <w:b/>
          <w:sz w:val="36"/>
        </w:rPr>
      </w:pPr>
      <w:r>
        <w:rPr>
          <w:rFonts w:hint="eastAsia" w:ascii="黑体" w:hAnsi="黑体" w:eastAsia="黑体"/>
          <w:b/>
          <w:sz w:val="36"/>
        </w:rPr>
        <w:t>银行办理境内公司境外上市登记及变更、注销</w:t>
      </w:r>
    </w:p>
    <w:p>
      <w:pPr>
        <w:jc w:val="center"/>
        <w:rPr>
          <w:rFonts w:hint="eastAsia" w:ascii="黑体" w:hAnsi="黑体" w:eastAsia="黑体"/>
          <w:b/>
          <w:sz w:val="36"/>
        </w:rPr>
      </w:pPr>
      <w:r>
        <w:rPr>
          <w:rFonts w:hint="eastAsia" w:ascii="黑体" w:hAnsi="黑体" w:eastAsia="黑体"/>
          <w:b/>
          <w:sz w:val="36"/>
        </w:rPr>
        <w:t>登记业务实施细则</w:t>
      </w:r>
    </w:p>
    <w:p>
      <w:pPr>
        <w:ind w:firstLine="600" w:firstLineChars="200"/>
        <w:rPr>
          <w:rFonts w:hint="eastAsia" w:ascii="仿宋" w:hAnsi="仿宋" w:eastAsia="仿宋"/>
          <w:color w:val="auto"/>
          <w:sz w:val="30"/>
        </w:rPr>
      </w:pP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第一条</w:t>
      </w:r>
      <w:r>
        <w:rPr>
          <w:rFonts w:hint="eastAsia" w:ascii="仿宋_GB2312" w:hAnsi="仿宋_GB2312" w:eastAsia="仿宋_GB2312"/>
          <w:sz w:val="32"/>
        </w:rPr>
        <w:t xml:space="preserve"> 注册在福建省内（不含厦门，下同）的非金融企业（房地产企业、地方政府融资平台、</w:t>
      </w:r>
      <w:r>
        <w:rPr>
          <w:rFonts w:hint="eastAsia" w:ascii="仿宋_GB2312" w:hAnsi="仿宋_GB2312" w:eastAsia="仿宋_GB2312"/>
          <w:kern w:val="0"/>
          <w:sz w:val="32"/>
        </w:rPr>
        <w:t>融资租赁公司、融资担保公司、商业保理公司、地方资产管理公司、小额贷公司、典当行</w:t>
      </w:r>
      <w:r>
        <w:rPr>
          <w:rFonts w:hint="eastAsia" w:ascii="仿宋_GB2312" w:hAnsi="仿宋_GB2312" w:eastAsia="仿宋_GB2312"/>
          <w:sz w:val="32"/>
        </w:rPr>
        <w:t>除外）原则上应在境外发行活动结束之日起或超额配售完成后15个工作日内，</w:t>
      </w:r>
      <w:r>
        <w:rPr>
          <w:rFonts w:hint="eastAsia" w:ascii="仿宋_GB2312" w:hAnsi="仿宋_GB2312" w:eastAsia="仿宋_GB2312"/>
          <w:color w:val="auto"/>
          <w:kern w:val="0"/>
          <w:sz w:val="32"/>
        </w:rPr>
        <w:t>向福建省分局辖内</w:t>
      </w:r>
      <w:r>
        <w:rPr>
          <w:rFonts w:hint="eastAsia" w:ascii="仿宋_GB2312" w:hAnsi="仿宋_GB2312" w:eastAsia="仿宋_GB2312"/>
          <w:sz w:val="32"/>
        </w:rPr>
        <w:t>银行申请办理境外上市登记，并需提供以下材料：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1.《境外上市登记申请表》（必要时附书面申请）。</w:t>
      </w:r>
    </w:p>
    <w:p>
      <w:pPr>
        <w:ind w:firstLine="640" w:firstLineChars="200"/>
        <w:rPr>
          <w:rFonts w:hint="eastAsia" w:ascii="仿宋_GB2312" w:hAnsi="仿宋_GB2312" w:eastAsia="仿宋_GB2312"/>
          <w:sz w:val="32"/>
        </w:rPr>
      </w:pPr>
      <w:r>
        <w:rPr>
          <w:rFonts w:hint="eastAsia" w:ascii="仿宋_GB2312" w:hAnsi="仿宋_GB2312" w:eastAsia="仿宋_GB2312"/>
          <w:sz w:val="32"/>
        </w:rPr>
        <w:t>2.证监会关于境内公司境外上市的备案文件（按证监会要求无需事前备案的除外）。</w:t>
      </w:r>
    </w:p>
    <w:p>
      <w:pPr>
        <w:ind w:firstLine="640" w:firstLineChars="200"/>
        <w:rPr>
          <w:rFonts w:hint="eastAsia" w:ascii="仿宋_GB2312" w:hAnsi="仿宋_GB2312" w:eastAsia="仿宋_GB2312"/>
          <w:sz w:val="32"/>
        </w:rPr>
      </w:pPr>
      <w:r>
        <w:rPr>
          <w:rFonts w:hint="eastAsia" w:ascii="仿宋_GB2312" w:hAnsi="仿宋_GB2312" w:eastAsia="仿宋_GB2312"/>
          <w:sz w:val="32"/>
        </w:rPr>
        <w:t>3.境外发行或超额配售完成的公告文件。</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第二条 </w:t>
      </w:r>
      <w:r>
        <w:rPr>
          <w:rFonts w:hint="eastAsia" w:ascii="仿宋_GB2312" w:hAnsi="仿宋_GB2312" w:eastAsia="仿宋_GB2312"/>
          <w:sz w:val="32"/>
        </w:rPr>
        <w:t>企业（H股上市公司）发生如下情形，应及时办理变更（注销）登记：</w:t>
      </w:r>
    </w:p>
    <w:p>
      <w:pPr>
        <w:ind w:firstLine="640" w:firstLineChars="200"/>
        <w:rPr>
          <w:rFonts w:hint="eastAsia" w:ascii="仿宋_GB2312" w:hAnsi="仿宋_GB2312" w:eastAsia="仿宋_GB2312"/>
          <w:sz w:val="32"/>
        </w:rPr>
      </w:pPr>
      <w:r>
        <w:rPr>
          <w:rFonts w:hint="eastAsia" w:ascii="仿宋_GB2312" w:hAnsi="仿宋_GB2312" w:eastAsia="仿宋_GB2312"/>
          <w:sz w:val="32"/>
        </w:rPr>
        <w:t>（1）境外上市公司名称、注册地址、主要股东信息等发生变更；（2）完成境外股份回购，将可转换债券转为股票，资本公积、盈余公积、未分配利润转增股本等导致资本变动；（3）境内股东增持、减持、转让、受让境外股份计划实施完毕使得境外上市公司股权结构发生变化；（4）境外上市前境内股东持有的内资股、境外上市后在境内增发的内资股或外资股东持有的未上市流通股份经证监会备案进行H股“全流通”；（5）增发（含超额配售、向境内特定对象发行证券购买资产）股份。</w:t>
      </w:r>
    </w:p>
    <w:p>
      <w:pPr>
        <w:ind w:firstLine="640" w:firstLineChars="200"/>
        <w:rPr>
          <w:rFonts w:hint="eastAsia" w:ascii="仿宋_GB2312" w:hAnsi="仿宋_GB2312" w:eastAsia="仿宋_GB2312"/>
          <w:sz w:val="32"/>
        </w:rPr>
      </w:pPr>
      <w:r>
        <w:rPr>
          <w:rFonts w:hint="eastAsia" w:ascii="仿宋_GB2312" w:hAnsi="仿宋_GB2312" w:eastAsia="仿宋_GB2312"/>
          <w:sz w:val="32"/>
        </w:rPr>
        <w:t>其中，（4）、（5）项应在变更事项完成之日起20个工作日内申请办理境外上市变更登记。</w:t>
      </w:r>
    </w:p>
    <w:p>
      <w:pPr>
        <w:ind w:firstLine="640" w:firstLineChars="200"/>
        <w:rPr>
          <w:rFonts w:hint="eastAsia" w:ascii="仿宋_GB2312" w:hAnsi="仿宋_GB2312" w:eastAsia="仿宋_GB2312"/>
          <w:sz w:val="32"/>
        </w:rPr>
      </w:pPr>
      <w:r>
        <w:rPr>
          <w:rFonts w:hint="eastAsia" w:ascii="仿宋_GB2312" w:hAnsi="仿宋_GB2312" w:eastAsia="仿宋_GB2312"/>
          <w:sz w:val="32"/>
        </w:rPr>
        <w:t>境内公司从境外证券市场退市的，应及时办理境外上市登记注销。</w:t>
      </w:r>
    </w:p>
    <w:p>
      <w:pPr>
        <w:ind w:firstLine="640" w:firstLineChars="200"/>
        <w:rPr>
          <w:rFonts w:hint="eastAsia" w:ascii="仿宋_GB2312" w:hAnsi="仿宋_GB2312" w:eastAsia="仿宋_GB2312"/>
          <w:sz w:val="32"/>
        </w:rPr>
      </w:pPr>
      <w:r>
        <w:rPr>
          <w:rFonts w:hint="eastAsia" w:ascii="仿宋_GB2312" w:hAnsi="仿宋_GB2312" w:eastAsia="仿宋_GB2312"/>
          <w:sz w:val="32"/>
        </w:rPr>
        <w:t>境内公司（不含银行）境外发行可转换为股票的公司债券以及发行非参与型优先股，参照外债管理规定办理外债登记、开户、汇兑等。境内公司将可转换债券转为股票的，需按规定办理外债变更或注销登记以及境外上市变更登记。</w:t>
      </w:r>
    </w:p>
    <w:p>
      <w:pPr>
        <w:ind w:firstLine="640" w:firstLineChars="200"/>
        <w:rPr>
          <w:rFonts w:hint="eastAsia" w:ascii="仿宋_GB2312" w:hAnsi="仿宋_GB2312" w:eastAsia="仿宋_GB2312"/>
          <w:sz w:val="32"/>
        </w:rPr>
      </w:pPr>
      <w:r>
        <w:rPr>
          <w:rFonts w:hint="eastAsia" w:ascii="仿宋_GB2312" w:hAnsi="仿宋_GB2312" w:eastAsia="仿宋_GB2312"/>
          <w:sz w:val="32"/>
        </w:rPr>
        <w:t>可转换债券若一次性转股，应在转股后20个工作日内申请办理境外上市变更登记；若分多批次转股，可选择在年末集中就当年发生的转股办理境外上市变更登记；若部分转股后，发生可转换债券强制赎回、到期中止交易等事件，应在事件发生后20个工作日内就已转股部分办理境外上市变更登记。</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第三条</w:t>
      </w:r>
      <w:r>
        <w:rPr>
          <w:rFonts w:hint="eastAsia" w:ascii="仿宋_GB2312" w:hAnsi="仿宋_GB2312" w:eastAsia="仿宋_GB2312"/>
          <w:sz w:val="32"/>
        </w:rPr>
        <w:t xml:space="preserve"> 企业申请办理境外上市变更（注销）登记，需提供以下材料：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（一）变更登记-一般情形：</w:t>
      </w:r>
    </w:p>
    <w:p>
      <w:pPr>
        <w:ind w:firstLine="640" w:firstLineChars="200"/>
        <w:rPr>
          <w:rFonts w:hint="eastAsia" w:ascii="仿宋_GB2312" w:hAnsi="仿宋_GB2312" w:eastAsia="仿宋_GB2312"/>
          <w:sz w:val="32"/>
        </w:rPr>
      </w:pPr>
      <w:r>
        <w:rPr>
          <w:rFonts w:hint="eastAsia" w:ascii="仿宋_GB2312" w:hAnsi="仿宋_GB2312" w:eastAsia="仿宋_GB2312"/>
          <w:sz w:val="32"/>
        </w:rPr>
        <w:t>1.《境外上市登记表》（必要时附书面申请）。</w:t>
      </w:r>
    </w:p>
    <w:p>
      <w:pPr>
        <w:ind w:firstLine="640" w:firstLineChars="200"/>
        <w:rPr>
          <w:rFonts w:hint="eastAsia" w:ascii="仿宋_GB2312" w:hAnsi="仿宋_GB2312" w:eastAsia="仿宋_GB2312"/>
          <w:sz w:val="32"/>
        </w:rPr>
      </w:pPr>
      <w:r>
        <w:rPr>
          <w:rFonts w:hint="eastAsia" w:ascii="仿宋_GB2312" w:hAnsi="仿宋_GB2312" w:eastAsia="仿宋_GB2312"/>
          <w:sz w:val="32"/>
        </w:rPr>
        <w:t>2.主管部门关于变更事项的相关批复或备案文件（如有）。</w:t>
      </w:r>
    </w:p>
    <w:p>
      <w:pPr>
        <w:ind w:firstLine="640" w:firstLineChars="200"/>
        <w:rPr>
          <w:rFonts w:hint="eastAsia" w:ascii="仿宋_GB2312" w:hAnsi="仿宋_GB2312" w:eastAsia="仿宋_GB2312"/>
          <w:sz w:val="32"/>
        </w:rPr>
      </w:pPr>
      <w:r>
        <w:rPr>
          <w:rFonts w:hint="eastAsia" w:ascii="仿宋_GB2312" w:hAnsi="仿宋_GB2312" w:eastAsia="仿宋_GB2312"/>
          <w:sz w:val="32"/>
        </w:rPr>
        <w:t>3.变更事项相关证明材料。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（二）变更登记-H股“全流通”：</w:t>
      </w:r>
    </w:p>
    <w:p>
      <w:pPr>
        <w:ind w:firstLine="640" w:firstLineChars="200"/>
        <w:rPr>
          <w:rFonts w:hint="eastAsia" w:ascii="仿宋_GB2312" w:hAnsi="仿宋_GB2312" w:eastAsia="仿宋_GB2312"/>
          <w:sz w:val="32"/>
        </w:rPr>
      </w:pPr>
      <w:r>
        <w:rPr>
          <w:rFonts w:hint="eastAsia" w:ascii="仿宋_GB2312" w:hAnsi="仿宋_GB2312" w:eastAsia="仿宋_GB2312"/>
          <w:sz w:val="32"/>
        </w:rPr>
        <w:t>1.《境外上市登记表》（必要时附书面申请，含获准H股“全流通”后，参与“全流通”的境内股东H股持股信息等）。</w:t>
      </w:r>
    </w:p>
    <w:p>
      <w:pPr>
        <w:ind w:firstLine="640" w:firstLineChars="200"/>
        <w:rPr>
          <w:rFonts w:hint="eastAsia" w:ascii="仿宋_GB2312" w:hAnsi="仿宋_GB2312" w:eastAsia="仿宋_GB2312"/>
          <w:sz w:val="32"/>
        </w:rPr>
      </w:pPr>
      <w:r>
        <w:rPr>
          <w:rFonts w:hint="eastAsia" w:ascii="仿宋_GB2312" w:hAnsi="仿宋_GB2312" w:eastAsia="仿宋_GB2312"/>
          <w:sz w:val="32"/>
        </w:rPr>
        <w:t>2.证监会关于H股“全流通”业务的备案文件。</w:t>
      </w:r>
    </w:p>
    <w:p>
      <w:pPr>
        <w:ind w:firstLine="640" w:firstLineChars="200"/>
        <w:rPr>
          <w:rFonts w:hint="eastAsia" w:ascii="仿宋_GB2312" w:hAnsi="仿宋_GB2312" w:eastAsia="仿宋_GB2312"/>
          <w:sz w:val="32"/>
        </w:rPr>
      </w:pPr>
      <w:r>
        <w:rPr>
          <w:rFonts w:hint="eastAsia" w:ascii="仿宋_GB2312" w:hAnsi="仿宋_GB2312" w:eastAsia="仿宋_GB2312"/>
          <w:sz w:val="32"/>
        </w:rPr>
        <w:t>3.境外上市公司关于开展H股“全流通”业务的公告文件。</w:t>
      </w:r>
    </w:p>
    <w:p>
      <w:pPr>
        <w:ind w:firstLine="640" w:firstLineChars="200"/>
        <w:rPr>
          <w:rFonts w:hint="eastAsia" w:ascii="仿宋_GB2312" w:hAnsi="仿宋_GB2312" w:eastAsia="仿宋_GB2312"/>
          <w:sz w:val="32"/>
        </w:rPr>
      </w:pPr>
      <w:r>
        <w:rPr>
          <w:rFonts w:hint="eastAsia" w:ascii="仿宋_GB2312" w:hAnsi="仿宋_GB2312" w:eastAsia="仿宋_GB2312"/>
          <w:sz w:val="32"/>
        </w:rPr>
        <w:t>（三）注销登记：</w:t>
      </w:r>
    </w:p>
    <w:p>
      <w:pPr>
        <w:ind w:firstLine="640" w:firstLineChars="200"/>
        <w:rPr>
          <w:rFonts w:hint="eastAsia" w:ascii="仿宋_GB2312" w:hAnsi="仿宋_GB2312" w:eastAsia="仿宋_GB2312"/>
          <w:sz w:val="32"/>
        </w:rPr>
      </w:pPr>
      <w:r>
        <w:rPr>
          <w:rFonts w:hint="eastAsia" w:ascii="仿宋_GB2312" w:hAnsi="仿宋_GB2312" w:eastAsia="仿宋_GB2312"/>
          <w:sz w:val="32"/>
        </w:rPr>
        <w:t>1.书面申请。</w:t>
      </w:r>
    </w:p>
    <w:p>
      <w:pPr>
        <w:ind w:firstLine="640" w:firstLineChars="200"/>
        <w:rPr>
          <w:rFonts w:hint="eastAsia" w:ascii="仿宋_GB2312" w:hAnsi="仿宋_GB2312" w:eastAsia="仿宋_GB2312"/>
          <w:sz w:val="32"/>
        </w:rPr>
      </w:pPr>
      <w:r>
        <w:rPr>
          <w:rFonts w:hint="eastAsia" w:ascii="仿宋_GB2312" w:hAnsi="仿宋_GB2312" w:eastAsia="仿宋_GB2312"/>
          <w:sz w:val="32"/>
        </w:rPr>
        <w:t>2.退市公告。</w:t>
      </w:r>
    </w:p>
    <w:p>
      <w:pPr>
        <w:ind w:firstLine="640" w:firstLineChars="200"/>
        <w:rPr>
          <w:rFonts w:hint="eastAsia" w:ascii="仿宋_GB2312" w:hAnsi="仿宋_GB2312" w:eastAsia="仿宋_GB2312"/>
          <w:sz w:val="32"/>
        </w:rPr>
      </w:pPr>
      <w:r>
        <w:rPr>
          <w:rFonts w:hint="eastAsia" w:ascii="仿宋_GB2312" w:hAnsi="仿宋_GB2312" w:eastAsia="仿宋_GB2312"/>
          <w:sz w:val="32"/>
        </w:rPr>
        <w:t>3.主管部门关于注销事项的相关批复或备案文件（如有）。</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第四条</w:t>
      </w:r>
      <w:r>
        <w:rPr>
          <w:rFonts w:hint="eastAsia" w:ascii="仿宋_GB2312" w:hAnsi="仿宋_GB2312" w:eastAsia="仿宋_GB2312"/>
          <w:sz w:val="32"/>
        </w:rPr>
        <w:t xml:space="preserve"> 企业变更（注销）业务或事项应符合主管部门相关管理要求。参与H股“全流通”的境内股东H股持股信息应符合证监会备案内容。</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第五条</w:t>
      </w:r>
      <w:r>
        <w:rPr>
          <w:rFonts w:hint="eastAsia" w:ascii="仿宋_GB2312" w:hAnsi="仿宋_GB2312" w:eastAsia="仿宋_GB2312"/>
          <w:sz w:val="32"/>
        </w:rPr>
        <w:t xml:space="preserve"> 企业在境外上市（首发或增发）备案时同时获批参与H股“全流通”的，无需单独申请H股“全流通”变更登记，与境外上市登记一并办理。</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第六条 </w:t>
      </w:r>
      <w:r>
        <w:rPr>
          <w:rFonts w:hint="eastAsia" w:ascii="仿宋_GB2312" w:hAnsi="仿宋_GB2312" w:eastAsia="仿宋_GB2312"/>
          <w:sz w:val="32"/>
        </w:rPr>
        <w:t>银行办理登记前，需核实企业实际情况、申请信息与资本项目信息系统中的信息是否一致，不一致的需核实原因，待相关信息一致后再办理新的登记业务。</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银行应通过资本项目信息系统办理境外上市登记（含变更、注销登记），打印《业务登记凭证》并加盖银行业务印章后交给申请人。</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第七条</w:t>
      </w:r>
      <w:r>
        <w:rPr>
          <w:rFonts w:hint="eastAsia" w:ascii="仿宋_GB2312" w:hAnsi="仿宋_GB2312" w:eastAsia="仿宋_GB2312"/>
          <w:sz w:val="32"/>
        </w:rPr>
        <w:t xml:space="preserve"> 企业应凭境外上市业务登记凭证，在境内银行开立境外上市外汇专用账户（账户性质为资本项目-结算账户，账户代码为2103，无开户银行、账户数量限制），办理首发（或增发）、回购等业务的资金收付和汇兑。</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第八条</w:t>
      </w:r>
      <w:r>
        <w:rPr>
          <w:rFonts w:hint="eastAsia" w:ascii="仿宋_GB2312" w:hAnsi="仿宋_GB2312" w:eastAsia="仿宋_GB2312"/>
          <w:sz w:val="32"/>
        </w:rPr>
        <w:t xml:space="preserve"> 境外上市募集资金原则上应及时调回境内，可以人民币或外币调回。资金用途应与招股说明文件或公司债券募集说明文件、股东通函、董事会或股东大会决议等公开披露的文件所列相关内容一致。境内公司使用境外上市募集资金开展境外直接投资、境外证券投资、境外放款等业务，应符合相关外汇管理规定。</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第九条</w:t>
      </w:r>
      <w:r>
        <w:rPr>
          <w:rFonts w:hint="eastAsia" w:ascii="仿宋_GB2312" w:hAnsi="仿宋_GB2312" w:eastAsia="仿宋_GB2312"/>
          <w:sz w:val="32"/>
        </w:rPr>
        <w:t xml:space="preserve"> 企业因办理境外上市相关业务需要，可在境外开立相应的专用账户，境外专用账户的收支范围应符合境内企业境外上市外汇管理规定。</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第十条</w:t>
      </w:r>
      <w:r>
        <w:rPr>
          <w:rFonts w:hint="eastAsia" w:ascii="仿宋_GB2312" w:hAnsi="仿宋_GB2312" w:eastAsia="仿宋_GB2312"/>
          <w:sz w:val="32"/>
        </w:rPr>
        <w:t xml:space="preserve"> 经证监会备案进行H股“全流通”的境内企业，应通过银行在资本项目信息系统中办理H股上市公司变更登记，将参与H股“全流通”的新增境内股东添加在“境外上市情况”——“交易所股东信息”中。</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第十一条</w:t>
      </w:r>
      <w:r>
        <w:rPr>
          <w:rFonts w:hint="eastAsia" w:ascii="仿宋_GB2312" w:hAnsi="仿宋_GB2312" w:eastAsia="仿宋_GB2312"/>
          <w:sz w:val="32"/>
        </w:rPr>
        <w:t xml:space="preserve"> 境内公司在境外多个证券交易所上市，涉及在新的证券交易所募集资金的，视同首发上市办理境外上市登记；不涉及募集资金的，在首发境外上市登记基础上办理变更登记。</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第十二条</w:t>
      </w:r>
      <w:r>
        <w:rPr>
          <w:rFonts w:hint="eastAsia" w:ascii="仿宋_GB2312" w:hAnsi="仿宋_GB2312" w:eastAsia="仿宋_GB2312"/>
          <w:sz w:val="32"/>
        </w:rPr>
        <w:t xml:space="preserve"> 企业以新增证券为基础发行境外存托凭证募集资金相关登记事项参照本实施细则办理。</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第十三条</w:t>
      </w:r>
      <w:r>
        <w:rPr>
          <w:rFonts w:hint="eastAsia" w:ascii="仿宋_GB2312" w:hAnsi="仿宋_GB2312" w:eastAsia="仿宋_GB2312"/>
          <w:sz w:val="32"/>
        </w:rPr>
        <w:t xml:space="preserve"> 企业回购其境外股份的，仍按现行规定到所属外汇分局办理回购相关业务。</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第十四条</w:t>
      </w:r>
      <w:r>
        <w:rPr>
          <w:rFonts w:hint="eastAsia" w:ascii="仿宋_GB2312" w:hAnsi="仿宋_GB2312" w:eastAsia="仿宋_GB2312"/>
          <w:sz w:val="32"/>
        </w:rPr>
        <w:t xml:space="preserve"> 外汇局负责对辖内银行办理的境外上市登记进行统计监测和业务核查。如有疑问或发生重大事项和异常情况的，银行应及时向外汇局报告。</w:t>
      </w:r>
    </w:p>
    <w:p>
      <w:pPr>
        <w:pStyle w:val="2"/>
        <w:spacing w:afterLines="0"/>
        <w:rPr>
          <w:rFonts w:hint="eastAsia"/>
          <w:sz w:val="24"/>
        </w:rPr>
      </w:pPr>
    </w:p>
    <w:p>
      <w:pPr>
        <w:pStyle w:val="2"/>
        <w:spacing w:afterLines="0"/>
        <w:rPr>
          <w:rFonts w:hint="eastAsia"/>
          <w:sz w:val="24"/>
        </w:rPr>
      </w:pPr>
    </w:p>
    <w:p>
      <w:pPr>
        <w:rPr>
          <w:rFonts w:hint="eastAsia" w:ascii="仿宋" w:hAnsi="仿宋" w:eastAsia="仿宋"/>
          <w:sz w:val="30"/>
        </w:rPr>
      </w:pPr>
      <w:r>
        <w:rPr>
          <w:rFonts w:hint="eastAsia" w:ascii="仿宋" w:hAnsi="仿宋" w:eastAsia="仿宋"/>
          <w:sz w:val="30"/>
        </w:rPr>
        <w:br w:type="page"/>
      </w:r>
    </w:p>
    <w:p>
      <w:pPr>
        <w:rPr>
          <w:rFonts w:hint="eastAsia" w:ascii="仿宋" w:hAnsi="仿宋" w:eastAsia="仿宋"/>
          <w:sz w:val="30"/>
        </w:rPr>
      </w:pPr>
      <w:r>
        <w:rPr>
          <w:rFonts w:hint="default" w:ascii="宋体" w:hAnsi="Times New Roman"/>
          <w:color w:val="auto"/>
          <w:kern w:val="0"/>
          <w:sz w:val="28"/>
        </w:rPr>
        <w:t>附</w:t>
      </w:r>
      <w:r>
        <w:rPr>
          <w:rFonts w:hint="default" w:ascii="宋体"/>
          <w:color w:val="auto"/>
          <w:kern w:val="0"/>
          <w:sz w:val="28"/>
        </w:rPr>
        <w:t>表</w:t>
      </w:r>
    </w:p>
    <w:p>
      <w:pPr>
        <w:widowControl/>
        <w:jc w:val="center"/>
        <w:rPr>
          <w:rFonts w:hint="default" w:ascii="宋体" w:hAnsi="宋体"/>
          <w:b/>
          <w:sz w:val="28"/>
        </w:rPr>
      </w:pPr>
      <w:r>
        <w:rPr>
          <w:rFonts w:hint="default" w:ascii="宋体" w:hAnsi="宋体"/>
          <w:b/>
          <w:sz w:val="28"/>
        </w:rPr>
        <w:t>境外上市登记申请表</w:t>
      </w:r>
    </w:p>
    <w:p>
      <w:pPr>
        <w:spacing w:line="400" w:lineRule="exact"/>
        <w:jc w:val="left"/>
        <w:rPr>
          <w:rFonts w:hint="default" w:ascii="宋体" w:hAnsi="宋体"/>
          <w:sz w:val="24"/>
        </w:rPr>
      </w:pPr>
      <w:r>
        <w:rPr>
          <w:rFonts w:hint="default" w:ascii="宋体" w:hAnsi="宋体"/>
          <w:sz w:val="24"/>
        </w:rPr>
        <w:t>登记类别：□登记  □变更登记         编号（银行填写）：</w:t>
      </w:r>
    </w:p>
    <w:tbl>
      <w:tblPr>
        <w:tblStyle w:val="8"/>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境内公司名称</w:t>
            </w:r>
          </w:p>
        </w:tc>
        <w:tc>
          <w:tcPr>
            <w:tcW w:w="318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70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统一社会信用代码</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注册地址</w:t>
            </w:r>
          </w:p>
        </w:tc>
        <w:tc>
          <w:tcPr>
            <w:tcW w:w="318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70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法定代表人</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上市地及证券交易所</w:t>
            </w:r>
          </w:p>
        </w:tc>
        <w:tc>
          <w:tcPr>
            <w:tcW w:w="318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（可填写多个上市地）</w:t>
            </w:r>
          </w:p>
        </w:tc>
        <w:tc>
          <w:tcPr>
            <w:tcW w:w="170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上市时间</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证监会备案文号</w:t>
            </w:r>
          </w:p>
        </w:tc>
        <w:tc>
          <w:tcPr>
            <w:tcW w:w="6401" w:type="dxa"/>
            <w:gridSpan w:val="2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证券名称</w:t>
            </w:r>
          </w:p>
        </w:tc>
        <w:tc>
          <w:tcPr>
            <w:tcW w:w="318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70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证券代码</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总股数</w:t>
            </w:r>
          </w:p>
        </w:tc>
        <w:tc>
          <w:tcPr>
            <w:tcW w:w="87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530"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总股本金额</w:t>
            </w:r>
          </w:p>
        </w:tc>
        <w:tc>
          <w:tcPr>
            <w:tcW w:w="144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0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币种</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总股本变更原因</w:t>
            </w:r>
          </w:p>
        </w:tc>
        <w:tc>
          <w:tcPr>
            <w:tcW w:w="6401" w:type="dxa"/>
            <w:gridSpan w:val="2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□增发（含超额配售、向境内特定对象发行证券购买资产）</w:t>
            </w:r>
          </w:p>
          <w:p>
            <w:pPr>
              <w:spacing w:line="340" w:lineRule="exact"/>
              <w:jc w:val="left"/>
              <w:rPr>
                <w:rFonts w:hint="default" w:ascii="宋体" w:hAnsi="宋体"/>
                <w:sz w:val="24"/>
              </w:rPr>
            </w:pPr>
            <w:r>
              <w:rPr>
                <w:rFonts w:hint="default" w:ascii="宋体" w:hAnsi="宋体"/>
                <w:sz w:val="24"/>
              </w:rPr>
              <w:t>□回购 □可转债转股</w:t>
            </w:r>
          </w:p>
          <w:p>
            <w:pPr>
              <w:spacing w:line="340" w:lineRule="exact"/>
              <w:jc w:val="left"/>
              <w:rPr>
                <w:rFonts w:hint="default" w:ascii="宋体" w:hAnsi="宋体"/>
                <w:sz w:val="24"/>
              </w:rPr>
            </w:pPr>
            <w:r>
              <w:rPr>
                <w:rFonts w:hint="default" w:ascii="宋体" w:hAnsi="宋体"/>
                <w:sz w:val="24"/>
              </w:rPr>
              <w:t>□资本公积、盈余公积、未分配利润转增股本</w:t>
            </w:r>
          </w:p>
          <w:p>
            <w:pPr>
              <w:spacing w:line="340" w:lineRule="exact"/>
              <w:jc w:val="left"/>
              <w:rPr>
                <w:rFonts w:hint="default" w:ascii="宋体" w:hAnsi="宋体"/>
                <w:sz w:val="24"/>
              </w:rPr>
            </w:pPr>
            <w:r>
              <w:rPr>
                <w:rFonts w:hint="default" w:ascii="宋体" w:hAnsi="宋体"/>
                <w:sz w:val="24"/>
              </w:rPr>
              <w:t>□其他（具体说明：</w:t>
            </w:r>
            <w:r>
              <w:rPr>
                <w:rFonts w:hint="default" w:ascii="宋体" w:hAnsi="宋体"/>
                <w:sz w:val="24"/>
                <w:u w:val="single"/>
              </w:rPr>
              <w:t xml:space="preserve">               </w:t>
            </w:r>
            <w:r>
              <w:rPr>
                <w:rFonts w:hint="default" w:ascii="宋体" w:hAnsi="宋体"/>
                <w:sz w:val="24"/>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联系人</w:t>
            </w:r>
          </w:p>
        </w:tc>
        <w:tc>
          <w:tcPr>
            <w:tcW w:w="4037" w:type="dxa"/>
            <w:gridSpan w:val="1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85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联系电话</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48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名称（或姓名）</w:t>
            </w:r>
          </w:p>
        </w:tc>
        <w:tc>
          <w:tcPr>
            <w:tcW w:w="182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统一社会信用代码</w:t>
            </w:r>
          </w:p>
        </w:tc>
        <w:tc>
          <w:tcPr>
            <w:tcW w:w="152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持股比例</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境内股东1</w:t>
            </w:r>
          </w:p>
        </w:tc>
        <w:tc>
          <w:tcPr>
            <w:tcW w:w="148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82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2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境内股东2</w:t>
            </w:r>
          </w:p>
        </w:tc>
        <w:tc>
          <w:tcPr>
            <w:tcW w:w="148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82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2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……（可加行）</w:t>
            </w:r>
          </w:p>
        </w:tc>
        <w:tc>
          <w:tcPr>
            <w:tcW w:w="148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82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2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发行方式</w:t>
            </w:r>
          </w:p>
        </w:tc>
        <w:tc>
          <w:tcPr>
            <w:tcW w:w="7385" w:type="dxa"/>
            <w:gridSpan w:val="2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□首次发行□增发（含超额配售）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发行种类</w:t>
            </w:r>
          </w:p>
        </w:tc>
        <w:tc>
          <w:tcPr>
            <w:tcW w:w="3462" w:type="dxa"/>
            <w:gridSpan w:val="1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股票</w:t>
            </w:r>
          </w:p>
        </w:tc>
        <w:tc>
          <w:tcPr>
            <w:tcW w:w="1559" w:type="dxa"/>
            <w:gridSpan w:val="5"/>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存托凭证</w:t>
            </w:r>
          </w:p>
        </w:tc>
        <w:tc>
          <w:tcPr>
            <w:tcW w:w="2364" w:type="dxa"/>
            <w:gridSpan w:val="5"/>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普通股</w:t>
            </w: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优先股</w:t>
            </w:r>
          </w:p>
        </w:tc>
        <w:tc>
          <w:tcPr>
            <w:tcW w:w="1559" w:type="dxa"/>
            <w:gridSpan w:val="5"/>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364" w:type="dxa"/>
            <w:gridSpan w:val="5"/>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名称及代码</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发行时间</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发行数量</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实际募集资金</w:t>
            </w:r>
          </w:p>
        </w:tc>
        <w:tc>
          <w:tcPr>
            <w:tcW w:w="74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金额</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4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4208" w:type="dxa"/>
            <w:gridSpan w:val="1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sz w:val="24"/>
              </w:rPr>
            </w:pPr>
            <w:r>
              <w:rPr>
                <w:rFonts w:hint="default" w:ascii="宋体" w:hAnsi="宋体"/>
                <w:sz w:val="24"/>
              </w:rPr>
              <w:t>合计金额（折美元）</w:t>
            </w:r>
          </w:p>
        </w:tc>
        <w:tc>
          <w:tcPr>
            <w:tcW w:w="3923"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国有股减持上缴社保基金情况</w:t>
            </w:r>
          </w:p>
        </w:tc>
        <w:tc>
          <w:tcPr>
            <w:tcW w:w="2186"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国有股东减持股数</w:t>
            </w:r>
          </w:p>
        </w:tc>
        <w:tc>
          <w:tcPr>
            <w:tcW w:w="117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6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减持金额</w:t>
            </w: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0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186"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国有股东上缴社保基金股数</w:t>
            </w:r>
          </w:p>
        </w:tc>
        <w:tc>
          <w:tcPr>
            <w:tcW w:w="11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65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上缴社保基金金额</w:t>
            </w: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0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募集资金运用计划</w:t>
            </w:r>
          </w:p>
        </w:tc>
        <w:tc>
          <w:tcPr>
            <w:tcW w:w="1335" w:type="dxa"/>
            <w:gridSpan w:val="6"/>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留存境外</w:t>
            </w: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用途</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金额</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center"/>
              <w:rPr>
                <w:rFonts w:hint="default" w:ascii="宋体" w:hAnsi="宋体"/>
                <w:sz w:val="24"/>
              </w:rPr>
            </w:pPr>
            <w:r>
              <w:rPr>
                <w:rFonts w:hint="default" w:ascii="宋体" w:hAnsi="宋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境外投资</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境外放款</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其他</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调回境内</w:t>
            </w:r>
          </w:p>
        </w:tc>
        <w:tc>
          <w:tcPr>
            <w:tcW w:w="1276"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center"/>
              <w:rPr>
                <w:rFonts w:hint="default" w:ascii="宋体" w:hAnsi="宋体"/>
                <w:sz w:val="24"/>
              </w:rPr>
            </w:pPr>
            <w:r>
              <w:rPr>
                <w:rFonts w:hint="default" w:ascii="宋体" w:hAnsi="宋体"/>
                <w:sz w:val="24"/>
              </w:rPr>
              <w:t>调回资金</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c>
          <w:tcPr>
            <w:tcW w:w="1276"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280" w:lineRule="exact"/>
              <w:jc w:val="center"/>
              <w:outlineLvl w:val="0"/>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center"/>
              <w:rPr>
                <w:rFonts w:hint="default" w:ascii="宋体" w:hAnsi="宋体"/>
                <w:sz w:val="24"/>
              </w:rPr>
            </w:pPr>
            <w:r>
              <w:rPr>
                <w:rFonts w:hint="default" w:ascii="宋体" w:hAnsi="宋体"/>
                <w:sz w:val="24"/>
              </w:rPr>
              <w:t>折美元合计</w:t>
            </w:r>
          </w:p>
        </w:tc>
        <w:tc>
          <w:tcPr>
            <w:tcW w:w="4915" w:type="dxa"/>
            <w:gridSpan w:val="15"/>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rPr>
                <w:rFonts w:hint="default" w:ascii="宋体" w:hAnsi="宋体"/>
                <w:sz w:val="24"/>
              </w:rPr>
            </w:pPr>
            <w:r>
              <w:rPr>
                <w:rFonts w:hint="default" w:ascii="宋体" w:hAnsi="宋体"/>
                <w:sz w:val="24"/>
              </w:rPr>
              <w:t>其中:结汇</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2"/>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2"/>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账户信息</w:t>
            </w:r>
          </w:p>
        </w:tc>
        <w:tc>
          <w:tcPr>
            <w:tcW w:w="2611"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开户银行</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资本项目结算账户账号</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611"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611"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611"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55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证监会备案文号或网址（如有）</w:t>
            </w:r>
          </w:p>
        </w:tc>
        <w:tc>
          <w:tcPr>
            <w:tcW w:w="5340" w:type="dxa"/>
            <w:gridSpan w:val="1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w:t>
            </w:r>
          </w:p>
          <w:p>
            <w:pPr>
              <w:spacing w:line="340" w:lineRule="exact"/>
              <w:jc w:val="left"/>
              <w:rPr>
                <w:rFonts w:hint="default" w:ascii="宋体" w:hAnsi="宋体"/>
                <w:sz w:val="24"/>
              </w:rPr>
            </w:pPr>
            <w:r>
              <w:rPr>
                <w:rFonts w:hint="default" w:ascii="宋体" w:hAnsi="宋体"/>
                <w:sz w:val="24"/>
              </w:rPr>
              <w:t>计划</w:t>
            </w:r>
          </w:p>
        </w:tc>
        <w:tc>
          <w:tcPr>
            <w:tcW w:w="2756"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回购数量</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756"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回购金额</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回购期限</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计划使用金额</w:t>
            </w:r>
          </w:p>
        </w:tc>
        <w:tc>
          <w:tcPr>
            <w:tcW w:w="2045"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境外解决</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境内</w:t>
            </w:r>
          </w:p>
          <w:p>
            <w:pPr>
              <w:spacing w:line="340" w:lineRule="exact"/>
              <w:jc w:val="left"/>
              <w:rPr>
                <w:rFonts w:hint="default" w:ascii="宋体" w:hAnsi="宋体"/>
                <w:sz w:val="24"/>
              </w:rPr>
            </w:pPr>
            <w:r>
              <w:rPr>
                <w:rFonts w:hint="default" w:ascii="宋体" w:hAnsi="宋体"/>
                <w:sz w:val="24"/>
              </w:rPr>
              <w:t>汇出</w:t>
            </w: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购汇</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自有外汇</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人民币</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w:t>
            </w:r>
          </w:p>
          <w:p>
            <w:pPr>
              <w:spacing w:line="340" w:lineRule="exact"/>
              <w:jc w:val="left"/>
              <w:rPr>
                <w:rFonts w:hint="default" w:ascii="宋体" w:hAnsi="宋体"/>
                <w:sz w:val="24"/>
              </w:rPr>
            </w:pPr>
            <w:r>
              <w:rPr>
                <w:rFonts w:hint="default" w:ascii="宋体" w:hAnsi="宋体"/>
                <w:sz w:val="24"/>
              </w:rPr>
              <w:t>完成</w:t>
            </w:r>
          </w:p>
          <w:p>
            <w:pPr>
              <w:spacing w:line="340" w:lineRule="exact"/>
              <w:jc w:val="left"/>
              <w:rPr>
                <w:rFonts w:hint="default" w:ascii="宋体" w:hAnsi="宋体"/>
                <w:sz w:val="24"/>
              </w:rPr>
            </w:pPr>
            <w:r>
              <w:rPr>
                <w:rFonts w:hint="default" w:ascii="宋体" w:hAnsi="宋体"/>
                <w:sz w:val="24"/>
              </w:rPr>
              <w:t>情况</w:t>
            </w:r>
          </w:p>
        </w:tc>
        <w:tc>
          <w:tcPr>
            <w:tcW w:w="2756"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回购数量</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756"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回购金额</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回购期限</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实际使用金额</w:t>
            </w:r>
          </w:p>
        </w:tc>
        <w:tc>
          <w:tcPr>
            <w:tcW w:w="2045"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境外解决</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境内汇出</w:t>
            </w: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购汇</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自有外汇</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人民币</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413"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回购剩余资金调回</w:t>
            </w:r>
          </w:p>
        </w:tc>
        <w:tc>
          <w:tcPr>
            <w:tcW w:w="1343" w:type="dxa"/>
            <w:gridSpan w:val="7"/>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left"/>
              <w:rPr>
                <w:rFonts w:hint="default" w:ascii="宋体" w:hAnsi="宋体"/>
                <w:sz w:val="24"/>
              </w:rPr>
            </w:pPr>
            <w:r>
              <w:rPr>
                <w:rFonts w:hint="default" w:ascii="宋体" w:hAnsi="宋体"/>
                <w:sz w:val="24"/>
              </w:rPr>
              <w:t>调回资金</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413"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43" w:type="dxa"/>
            <w:gridSpan w:val="7"/>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left"/>
              <w:rPr>
                <w:rFonts w:hint="default" w:ascii="宋体" w:hAnsi="宋体"/>
                <w:sz w:val="24"/>
              </w:rPr>
            </w:pP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413"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43"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left"/>
              <w:rPr>
                <w:rFonts w:hint="default" w:ascii="宋体" w:hAnsi="宋体"/>
                <w:sz w:val="24"/>
              </w:rPr>
            </w:pPr>
            <w:r>
              <w:rPr>
                <w:rFonts w:hint="default" w:ascii="宋体" w:hAnsi="宋体"/>
                <w:sz w:val="24"/>
              </w:rPr>
              <w:t>折美元合计</w:t>
            </w:r>
          </w:p>
        </w:tc>
        <w:tc>
          <w:tcPr>
            <w:tcW w:w="5340" w:type="dxa"/>
            <w:gridSpan w:val="1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82"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证监会备案文号或网址（如有）</w:t>
            </w:r>
          </w:p>
        </w:tc>
        <w:tc>
          <w:tcPr>
            <w:tcW w:w="4915" w:type="dxa"/>
            <w:gridSpan w:val="1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外债登记编号</w:t>
            </w:r>
          </w:p>
        </w:tc>
        <w:tc>
          <w:tcPr>
            <w:tcW w:w="175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转换比例</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债转股前债券总数</w:t>
            </w:r>
          </w:p>
        </w:tc>
        <w:tc>
          <w:tcPr>
            <w:tcW w:w="175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债转股前总股数</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本次转换债券数</w:t>
            </w:r>
          </w:p>
        </w:tc>
        <w:tc>
          <w:tcPr>
            <w:tcW w:w="175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本次转换股数</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798"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520" w:lineRule="exact"/>
              <w:jc w:val="center"/>
              <w:outlineLvl w:val="0"/>
              <w:rPr>
                <w:rFonts w:hint="default" w:ascii="宋体" w:hAnsi="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3106"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ind w:firstLine="482" w:firstLineChars="200"/>
              <w:rPr>
                <w:rFonts w:hint="default" w:ascii="宋体" w:hAnsi="宋体"/>
                <w:b/>
                <w:sz w:val="24"/>
              </w:rPr>
            </w:pPr>
            <w:r>
              <w:rPr>
                <w:rFonts w:hint="default" w:ascii="宋体" w:hAnsi="宋体"/>
                <w:b/>
                <w:sz w:val="24"/>
              </w:rPr>
              <w:t>本公司承诺对此登记表中由本公司填写内容的真实性负责，并承诺按照外汇管理有关规定办理相关业务，接受国家外汇管理部门的监督、管理和检查。</w:t>
            </w:r>
          </w:p>
          <w:p>
            <w:pPr>
              <w:keepNext/>
              <w:keepLines/>
              <w:spacing w:line="460" w:lineRule="exact"/>
              <w:jc w:val="center"/>
              <w:outlineLvl w:val="2"/>
              <w:rPr>
                <w:rFonts w:hint="default" w:ascii="宋体" w:hAnsi="宋体"/>
                <w:b/>
                <w:sz w:val="24"/>
              </w:rPr>
            </w:pPr>
          </w:p>
          <w:p>
            <w:pPr>
              <w:spacing w:line="460" w:lineRule="exact"/>
              <w:ind w:firstLine="2289" w:firstLineChars="950"/>
              <w:rPr>
                <w:rFonts w:hint="default" w:ascii="宋体" w:hAnsi="宋体"/>
                <w:b/>
                <w:sz w:val="24"/>
              </w:rPr>
            </w:pPr>
            <w:r>
              <w:rPr>
                <w:rFonts w:hint="default" w:ascii="宋体" w:hAnsi="宋体"/>
                <w:b/>
                <w:sz w:val="24"/>
              </w:rPr>
              <w:t>境外上市的境内公司（名称及公章）：</w:t>
            </w:r>
          </w:p>
          <w:p>
            <w:pPr>
              <w:spacing w:line="460" w:lineRule="exact"/>
              <w:jc w:val="center"/>
              <w:rPr>
                <w:rFonts w:hint="default" w:ascii="宋体" w:hAnsi="宋体"/>
                <w:b/>
                <w:sz w:val="24"/>
              </w:rPr>
            </w:pPr>
            <w:r>
              <w:rPr>
                <w:rFonts w:hint="default" w:ascii="宋体" w:hAnsi="宋体"/>
                <w:b/>
                <w:sz w:val="24"/>
              </w:rPr>
              <w:t xml:space="preserve">                  年   月   日</w:t>
            </w:r>
          </w:p>
        </w:tc>
      </w:tr>
    </w:tbl>
    <w:p>
      <w:pPr>
        <w:rPr>
          <w:rFonts w:hint="default" w:ascii="宋体" w:hAnsi="宋体"/>
          <w:b/>
          <w:sz w:val="21"/>
        </w:rPr>
      </w:pPr>
      <w:r>
        <w:rPr>
          <w:rFonts w:hint="default" w:ascii="宋体" w:hAnsi="宋体"/>
          <w:b/>
          <w:sz w:val="21"/>
        </w:rPr>
        <w:t>填表说明：</w:t>
      </w:r>
    </w:p>
    <w:p>
      <w:pPr>
        <w:rPr>
          <w:rFonts w:hint="default" w:ascii="宋体" w:hAnsi="宋体"/>
          <w:sz w:val="21"/>
        </w:rPr>
      </w:pPr>
      <w:r>
        <w:rPr>
          <w:rFonts w:hint="default" w:ascii="宋体" w:hAnsi="宋体"/>
          <w:sz w:val="21"/>
        </w:rPr>
        <w:t>1、境内公司填报本登记表，银行审核无误并在资本项目信息系统办理登记后，将加盖业务印章的业务登记凭证交境内公司。</w:t>
      </w:r>
    </w:p>
    <w:p>
      <w:pPr>
        <w:rPr>
          <w:rFonts w:hint="eastAsia" w:ascii="仿宋" w:hAnsi="仿宋" w:eastAsia="仿宋"/>
          <w:sz w:val="30"/>
        </w:rPr>
      </w:pPr>
      <w:r>
        <w:rPr>
          <w:rFonts w:hint="default" w:ascii="宋体" w:hAnsi="宋体"/>
          <w:sz w:val="21"/>
        </w:rPr>
        <w:t>2、若本登记表中已经银行登记确认的相关事项发生变更，境内公司申请办理变更登记时，应按照变更后的内容重新填写本登记表，并对变更内容进行标注。银行审核无误后在资本项目信息系统办理变更登记，并向境内公司出具新的加盖业务印章的业务登记凭证，同时收回原业务登记凭证。</w:t>
      </w:r>
    </w:p>
    <w:p>
      <w:pPr>
        <w:pStyle w:val="2"/>
        <w:spacing w:afterLines="0"/>
        <w:ind w:left="0" w:leftChars="0" w:firstLine="0" w:firstLineChars="0"/>
        <w:rPr>
          <w:rFonts w:hint="eastAsia"/>
          <w:sz w:val="24"/>
        </w:rPr>
      </w:pPr>
    </w:p>
    <w:p>
      <w:pPr>
        <w:ind w:firstLine="640" w:firstLineChars="200"/>
        <w:rPr>
          <w:rFonts w:hint="eastAsia" w:ascii="仿宋_GB2312" w:hAnsi="仿宋_GB2312" w:eastAsia="仿宋_GB2312"/>
          <w:sz w:val="32"/>
        </w:rPr>
      </w:pPr>
    </w:p>
    <w:p>
      <w:pPr>
        <w:adjustRightInd w:val="0"/>
        <w:snapToGrid w:val="0"/>
        <w:spacing w:beforeLines="0" w:afterLines="0" w:line="560" w:lineRule="exact"/>
        <w:rPr>
          <w:rFonts w:hint="eastAsia" w:ascii="仿宋_GB2312" w:hAnsi="仿宋_GB2312" w:eastAsia="仿宋_GB2312"/>
          <w:color w:val="auto"/>
          <w:sz w:val="32"/>
          <w:u w:val="none" w:color="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rPr>
      <w:t>1</w:t>
    </w:r>
    <w:r>
      <w:rPr>
        <w:rFonts w:hint="default"/>
        <w:sz w:val="18"/>
      </w:rPr>
      <w:fldChar w:fldCharType="end"/>
    </w:r>
  </w:p>
  <w:p>
    <w:pPr>
      <w:pStyle w:val="4"/>
      <w:rPr>
        <w:rFonts w:hint="default"/>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701"/>
    <w:rsid w:val="000D1B94"/>
    <w:rsid w:val="00103AAC"/>
    <w:rsid w:val="00144F31"/>
    <w:rsid w:val="00163822"/>
    <w:rsid w:val="001B620C"/>
    <w:rsid w:val="00260DF9"/>
    <w:rsid w:val="004A6B46"/>
    <w:rsid w:val="00550422"/>
    <w:rsid w:val="00956CE7"/>
    <w:rsid w:val="00A35D59"/>
    <w:rsid w:val="00BB231E"/>
    <w:rsid w:val="00BB3F88"/>
    <w:rsid w:val="00BE7534"/>
    <w:rsid w:val="00CE1020"/>
    <w:rsid w:val="00E43B6B"/>
    <w:rsid w:val="00EC2F61"/>
    <w:rsid w:val="010F0043"/>
    <w:rsid w:val="012D71D0"/>
    <w:rsid w:val="01547980"/>
    <w:rsid w:val="015A6142"/>
    <w:rsid w:val="01601304"/>
    <w:rsid w:val="016E1FEC"/>
    <w:rsid w:val="018B489D"/>
    <w:rsid w:val="019407E8"/>
    <w:rsid w:val="01962ABB"/>
    <w:rsid w:val="019834AD"/>
    <w:rsid w:val="019C6A04"/>
    <w:rsid w:val="019D0629"/>
    <w:rsid w:val="01A05364"/>
    <w:rsid w:val="01A061A4"/>
    <w:rsid w:val="01AC4623"/>
    <w:rsid w:val="01AF49A2"/>
    <w:rsid w:val="01B846C4"/>
    <w:rsid w:val="01BC6B0E"/>
    <w:rsid w:val="01C02581"/>
    <w:rsid w:val="01D07B41"/>
    <w:rsid w:val="01D16DAC"/>
    <w:rsid w:val="01F80A9B"/>
    <w:rsid w:val="02213F17"/>
    <w:rsid w:val="02294764"/>
    <w:rsid w:val="02511CA5"/>
    <w:rsid w:val="027502C0"/>
    <w:rsid w:val="02826B65"/>
    <w:rsid w:val="0291322F"/>
    <w:rsid w:val="02945830"/>
    <w:rsid w:val="02AF10B5"/>
    <w:rsid w:val="02B2010A"/>
    <w:rsid w:val="02C17917"/>
    <w:rsid w:val="02CD78F8"/>
    <w:rsid w:val="02DE0F28"/>
    <w:rsid w:val="02E22D69"/>
    <w:rsid w:val="02FB2AA7"/>
    <w:rsid w:val="030F439E"/>
    <w:rsid w:val="032E47FA"/>
    <w:rsid w:val="032F7723"/>
    <w:rsid w:val="035A0B61"/>
    <w:rsid w:val="036B2F56"/>
    <w:rsid w:val="037B7C29"/>
    <w:rsid w:val="03A24DA8"/>
    <w:rsid w:val="03DA7F55"/>
    <w:rsid w:val="03DB2879"/>
    <w:rsid w:val="04016CD0"/>
    <w:rsid w:val="040B5649"/>
    <w:rsid w:val="04191EEA"/>
    <w:rsid w:val="042E6FF7"/>
    <w:rsid w:val="04344701"/>
    <w:rsid w:val="04392956"/>
    <w:rsid w:val="0443506B"/>
    <w:rsid w:val="044E152E"/>
    <w:rsid w:val="04772C67"/>
    <w:rsid w:val="04774631"/>
    <w:rsid w:val="048933F5"/>
    <w:rsid w:val="04AE33CE"/>
    <w:rsid w:val="04AF40E7"/>
    <w:rsid w:val="04B52D54"/>
    <w:rsid w:val="04C47DC6"/>
    <w:rsid w:val="04EB28BD"/>
    <w:rsid w:val="04F077CD"/>
    <w:rsid w:val="04F57A40"/>
    <w:rsid w:val="04FF7B08"/>
    <w:rsid w:val="050B48DF"/>
    <w:rsid w:val="052A14A0"/>
    <w:rsid w:val="052C1009"/>
    <w:rsid w:val="05364D05"/>
    <w:rsid w:val="053B77CB"/>
    <w:rsid w:val="054A4BE9"/>
    <w:rsid w:val="057F6494"/>
    <w:rsid w:val="05851D1D"/>
    <w:rsid w:val="0591779C"/>
    <w:rsid w:val="059D32BA"/>
    <w:rsid w:val="05B129A2"/>
    <w:rsid w:val="05B464E1"/>
    <w:rsid w:val="05B60C3A"/>
    <w:rsid w:val="05CB7774"/>
    <w:rsid w:val="05DF6A84"/>
    <w:rsid w:val="063C4583"/>
    <w:rsid w:val="06435010"/>
    <w:rsid w:val="064D06F4"/>
    <w:rsid w:val="067227A7"/>
    <w:rsid w:val="06841794"/>
    <w:rsid w:val="06A90665"/>
    <w:rsid w:val="06D67832"/>
    <w:rsid w:val="06EC4802"/>
    <w:rsid w:val="070C0532"/>
    <w:rsid w:val="071B5861"/>
    <w:rsid w:val="07212A08"/>
    <w:rsid w:val="076E1B5A"/>
    <w:rsid w:val="076F383F"/>
    <w:rsid w:val="07757FCD"/>
    <w:rsid w:val="07820737"/>
    <w:rsid w:val="07A661A7"/>
    <w:rsid w:val="07C40A5D"/>
    <w:rsid w:val="07C42CC0"/>
    <w:rsid w:val="07C509A5"/>
    <w:rsid w:val="07EA6B18"/>
    <w:rsid w:val="07FF0D1B"/>
    <w:rsid w:val="08124AA9"/>
    <w:rsid w:val="08184CD1"/>
    <w:rsid w:val="082B55E1"/>
    <w:rsid w:val="082B72FF"/>
    <w:rsid w:val="083130EF"/>
    <w:rsid w:val="08344FF4"/>
    <w:rsid w:val="085513F4"/>
    <w:rsid w:val="08CC320A"/>
    <w:rsid w:val="08ED1B30"/>
    <w:rsid w:val="08F53B57"/>
    <w:rsid w:val="09140E42"/>
    <w:rsid w:val="092D3500"/>
    <w:rsid w:val="093B6BDF"/>
    <w:rsid w:val="094C4F59"/>
    <w:rsid w:val="095310B5"/>
    <w:rsid w:val="09567B93"/>
    <w:rsid w:val="095B2A65"/>
    <w:rsid w:val="09635FB0"/>
    <w:rsid w:val="09697F6D"/>
    <w:rsid w:val="096F354E"/>
    <w:rsid w:val="09746320"/>
    <w:rsid w:val="0975701A"/>
    <w:rsid w:val="0976560F"/>
    <w:rsid w:val="097F1728"/>
    <w:rsid w:val="099A585A"/>
    <w:rsid w:val="09B421AC"/>
    <w:rsid w:val="09D02562"/>
    <w:rsid w:val="09D0689B"/>
    <w:rsid w:val="09D50801"/>
    <w:rsid w:val="09DE629B"/>
    <w:rsid w:val="0A1D3C97"/>
    <w:rsid w:val="0A35182D"/>
    <w:rsid w:val="0A4F734E"/>
    <w:rsid w:val="0A501DAB"/>
    <w:rsid w:val="0A6025BC"/>
    <w:rsid w:val="0A651EBF"/>
    <w:rsid w:val="0A675A75"/>
    <w:rsid w:val="0A7F243F"/>
    <w:rsid w:val="0A9F53AF"/>
    <w:rsid w:val="0AAA2C3B"/>
    <w:rsid w:val="0AB85277"/>
    <w:rsid w:val="0AD16417"/>
    <w:rsid w:val="0AD67974"/>
    <w:rsid w:val="0AD975A7"/>
    <w:rsid w:val="0AFD13AA"/>
    <w:rsid w:val="0B146309"/>
    <w:rsid w:val="0B1D650C"/>
    <w:rsid w:val="0B246DCA"/>
    <w:rsid w:val="0B383304"/>
    <w:rsid w:val="0B6100C6"/>
    <w:rsid w:val="0B831DA1"/>
    <w:rsid w:val="0B85119B"/>
    <w:rsid w:val="0B8A3B6D"/>
    <w:rsid w:val="0B902E77"/>
    <w:rsid w:val="0B935B65"/>
    <w:rsid w:val="0BA32998"/>
    <w:rsid w:val="0BAD535C"/>
    <w:rsid w:val="0BCB25F2"/>
    <w:rsid w:val="0BE930D0"/>
    <w:rsid w:val="0BFB76C7"/>
    <w:rsid w:val="0C1A6A9E"/>
    <w:rsid w:val="0C2841CC"/>
    <w:rsid w:val="0C2B615D"/>
    <w:rsid w:val="0C48107C"/>
    <w:rsid w:val="0C4D039F"/>
    <w:rsid w:val="0C554C9F"/>
    <w:rsid w:val="0C5C1773"/>
    <w:rsid w:val="0C700505"/>
    <w:rsid w:val="0C751C93"/>
    <w:rsid w:val="0CA305C5"/>
    <w:rsid w:val="0CB415EE"/>
    <w:rsid w:val="0CD34329"/>
    <w:rsid w:val="0CEC681E"/>
    <w:rsid w:val="0D0679F3"/>
    <w:rsid w:val="0D36786E"/>
    <w:rsid w:val="0D3C0BB6"/>
    <w:rsid w:val="0D42615A"/>
    <w:rsid w:val="0D474BB6"/>
    <w:rsid w:val="0D4D6E50"/>
    <w:rsid w:val="0D5253A4"/>
    <w:rsid w:val="0D5D2863"/>
    <w:rsid w:val="0D5F444B"/>
    <w:rsid w:val="0D722254"/>
    <w:rsid w:val="0DC7587D"/>
    <w:rsid w:val="0DCE708E"/>
    <w:rsid w:val="0DD33CC3"/>
    <w:rsid w:val="0DD64168"/>
    <w:rsid w:val="0DD74F55"/>
    <w:rsid w:val="0DEF6F4C"/>
    <w:rsid w:val="0DFC2484"/>
    <w:rsid w:val="0E081ED5"/>
    <w:rsid w:val="0E1F774E"/>
    <w:rsid w:val="0E355C46"/>
    <w:rsid w:val="0E391F0C"/>
    <w:rsid w:val="0E3B6980"/>
    <w:rsid w:val="0E452F88"/>
    <w:rsid w:val="0E4B513C"/>
    <w:rsid w:val="0E6D6744"/>
    <w:rsid w:val="0E726053"/>
    <w:rsid w:val="0EB12901"/>
    <w:rsid w:val="0ECD2C1C"/>
    <w:rsid w:val="0EFD4DDB"/>
    <w:rsid w:val="0F0F47FC"/>
    <w:rsid w:val="0F1D3557"/>
    <w:rsid w:val="0F224C4A"/>
    <w:rsid w:val="0F281E9A"/>
    <w:rsid w:val="0F36626C"/>
    <w:rsid w:val="0F433458"/>
    <w:rsid w:val="0F566ADD"/>
    <w:rsid w:val="0F642EA6"/>
    <w:rsid w:val="0F6771DF"/>
    <w:rsid w:val="0F710F6A"/>
    <w:rsid w:val="0F732864"/>
    <w:rsid w:val="0F7F3AF7"/>
    <w:rsid w:val="0F840BBF"/>
    <w:rsid w:val="0F9C7232"/>
    <w:rsid w:val="0FAF3E27"/>
    <w:rsid w:val="0FDC237F"/>
    <w:rsid w:val="0FE26E24"/>
    <w:rsid w:val="0FE35867"/>
    <w:rsid w:val="10034AD4"/>
    <w:rsid w:val="10330AF7"/>
    <w:rsid w:val="104563E0"/>
    <w:rsid w:val="104C5988"/>
    <w:rsid w:val="105A611D"/>
    <w:rsid w:val="107670AA"/>
    <w:rsid w:val="108F029B"/>
    <w:rsid w:val="10AF2E00"/>
    <w:rsid w:val="10B17780"/>
    <w:rsid w:val="10C704F8"/>
    <w:rsid w:val="10D8062C"/>
    <w:rsid w:val="10E10BD1"/>
    <w:rsid w:val="10EC64ED"/>
    <w:rsid w:val="111228C9"/>
    <w:rsid w:val="112707D1"/>
    <w:rsid w:val="114E4BA9"/>
    <w:rsid w:val="1155723D"/>
    <w:rsid w:val="11735D76"/>
    <w:rsid w:val="117B4437"/>
    <w:rsid w:val="118920C6"/>
    <w:rsid w:val="118A1130"/>
    <w:rsid w:val="11965536"/>
    <w:rsid w:val="119A0BC1"/>
    <w:rsid w:val="11AB6977"/>
    <w:rsid w:val="11D076C7"/>
    <w:rsid w:val="11E23358"/>
    <w:rsid w:val="11EA1C3B"/>
    <w:rsid w:val="11F83565"/>
    <w:rsid w:val="12010599"/>
    <w:rsid w:val="12132C2F"/>
    <w:rsid w:val="12231E24"/>
    <w:rsid w:val="122B36F8"/>
    <w:rsid w:val="127A0A2B"/>
    <w:rsid w:val="1280094A"/>
    <w:rsid w:val="12885817"/>
    <w:rsid w:val="12952D57"/>
    <w:rsid w:val="12CE1876"/>
    <w:rsid w:val="12DE62B6"/>
    <w:rsid w:val="12EE71F5"/>
    <w:rsid w:val="130B1A60"/>
    <w:rsid w:val="13123F02"/>
    <w:rsid w:val="13191F9D"/>
    <w:rsid w:val="13236532"/>
    <w:rsid w:val="13275874"/>
    <w:rsid w:val="13277650"/>
    <w:rsid w:val="13312D86"/>
    <w:rsid w:val="134A23A8"/>
    <w:rsid w:val="13524C7C"/>
    <w:rsid w:val="13577423"/>
    <w:rsid w:val="138D7CF3"/>
    <w:rsid w:val="13AF5EED"/>
    <w:rsid w:val="13BF3D25"/>
    <w:rsid w:val="13D51861"/>
    <w:rsid w:val="13E616E0"/>
    <w:rsid w:val="13EF27B7"/>
    <w:rsid w:val="14017CF9"/>
    <w:rsid w:val="142741CF"/>
    <w:rsid w:val="14386BFD"/>
    <w:rsid w:val="146130DA"/>
    <w:rsid w:val="147F5914"/>
    <w:rsid w:val="14825DF7"/>
    <w:rsid w:val="148E3732"/>
    <w:rsid w:val="149A3E30"/>
    <w:rsid w:val="14BA1E2B"/>
    <w:rsid w:val="14D21C1D"/>
    <w:rsid w:val="14F242C8"/>
    <w:rsid w:val="14F42780"/>
    <w:rsid w:val="150E6980"/>
    <w:rsid w:val="151021CA"/>
    <w:rsid w:val="15122123"/>
    <w:rsid w:val="15336D38"/>
    <w:rsid w:val="157B5D2A"/>
    <w:rsid w:val="158545F6"/>
    <w:rsid w:val="15877BB3"/>
    <w:rsid w:val="159A6E15"/>
    <w:rsid w:val="15CA5E60"/>
    <w:rsid w:val="15D10BAE"/>
    <w:rsid w:val="15D81DBD"/>
    <w:rsid w:val="15DB6885"/>
    <w:rsid w:val="15E71FAC"/>
    <w:rsid w:val="15F15A11"/>
    <w:rsid w:val="15F34807"/>
    <w:rsid w:val="1618374B"/>
    <w:rsid w:val="1622387F"/>
    <w:rsid w:val="163A22FE"/>
    <w:rsid w:val="16452A60"/>
    <w:rsid w:val="16663405"/>
    <w:rsid w:val="166C631C"/>
    <w:rsid w:val="168D53EF"/>
    <w:rsid w:val="168E20B4"/>
    <w:rsid w:val="16C23821"/>
    <w:rsid w:val="16DD32D5"/>
    <w:rsid w:val="16E03103"/>
    <w:rsid w:val="16F16318"/>
    <w:rsid w:val="16FE2BC4"/>
    <w:rsid w:val="17001F82"/>
    <w:rsid w:val="17070983"/>
    <w:rsid w:val="170B7CA7"/>
    <w:rsid w:val="170F0429"/>
    <w:rsid w:val="173E2AA4"/>
    <w:rsid w:val="17424EE8"/>
    <w:rsid w:val="17496C3C"/>
    <w:rsid w:val="174E11DA"/>
    <w:rsid w:val="17691386"/>
    <w:rsid w:val="17896621"/>
    <w:rsid w:val="17A35B60"/>
    <w:rsid w:val="17BB01EF"/>
    <w:rsid w:val="17BD66CF"/>
    <w:rsid w:val="17C268CD"/>
    <w:rsid w:val="17C40B58"/>
    <w:rsid w:val="17D74B5F"/>
    <w:rsid w:val="17DB38F6"/>
    <w:rsid w:val="17ED3EE8"/>
    <w:rsid w:val="17FC5993"/>
    <w:rsid w:val="17FF1EF2"/>
    <w:rsid w:val="18126CB7"/>
    <w:rsid w:val="184763DC"/>
    <w:rsid w:val="1849022C"/>
    <w:rsid w:val="185C35E3"/>
    <w:rsid w:val="187B17A2"/>
    <w:rsid w:val="187E7B09"/>
    <w:rsid w:val="18B77C1F"/>
    <w:rsid w:val="18C23B68"/>
    <w:rsid w:val="18CF2511"/>
    <w:rsid w:val="18D56529"/>
    <w:rsid w:val="18E7466E"/>
    <w:rsid w:val="1902082B"/>
    <w:rsid w:val="191127A3"/>
    <w:rsid w:val="19116BBA"/>
    <w:rsid w:val="19303268"/>
    <w:rsid w:val="19673FF7"/>
    <w:rsid w:val="19697C06"/>
    <w:rsid w:val="19721B6C"/>
    <w:rsid w:val="19796792"/>
    <w:rsid w:val="19881E04"/>
    <w:rsid w:val="19890DD8"/>
    <w:rsid w:val="199A6967"/>
    <w:rsid w:val="19A67C68"/>
    <w:rsid w:val="19A80C8B"/>
    <w:rsid w:val="19AC413F"/>
    <w:rsid w:val="19B1478C"/>
    <w:rsid w:val="19D60019"/>
    <w:rsid w:val="19D774E5"/>
    <w:rsid w:val="19DF400C"/>
    <w:rsid w:val="19F7276D"/>
    <w:rsid w:val="1A0F179F"/>
    <w:rsid w:val="1A111570"/>
    <w:rsid w:val="1A1F5272"/>
    <w:rsid w:val="1A30736A"/>
    <w:rsid w:val="1A653251"/>
    <w:rsid w:val="1A6D5BD0"/>
    <w:rsid w:val="1A7A68F7"/>
    <w:rsid w:val="1A8B5941"/>
    <w:rsid w:val="1A9E5552"/>
    <w:rsid w:val="1AF80847"/>
    <w:rsid w:val="1B0C0A03"/>
    <w:rsid w:val="1B602AC0"/>
    <w:rsid w:val="1B665836"/>
    <w:rsid w:val="1B6F411E"/>
    <w:rsid w:val="1B6F50CC"/>
    <w:rsid w:val="1B82149C"/>
    <w:rsid w:val="1BAA1BA1"/>
    <w:rsid w:val="1BAF60FE"/>
    <w:rsid w:val="1BB524C4"/>
    <w:rsid w:val="1BB66078"/>
    <w:rsid w:val="1BC23335"/>
    <w:rsid w:val="1BC235A6"/>
    <w:rsid w:val="1BCD3F17"/>
    <w:rsid w:val="1BCD72C4"/>
    <w:rsid w:val="1BD1137D"/>
    <w:rsid w:val="1BE51BD1"/>
    <w:rsid w:val="1C03597A"/>
    <w:rsid w:val="1C1B4CBD"/>
    <w:rsid w:val="1C522FC7"/>
    <w:rsid w:val="1C5F5553"/>
    <w:rsid w:val="1C64368D"/>
    <w:rsid w:val="1C651361"/>
    <w:rsid w:val="1C7E1E1E"/>
    <w:rsid w:val="1C826411"/>
    <w:rsid w:val="1C893249"/>
    <w:rsid w:val="1C8A4A1D"/>
    <w:rsid w:val="1C960E23"/>
    <w:rsid w:val="1C967FC9"/>
    <w:rsid w:val="1C9E2904"/>
    <w:rsid w:val="1CCF63A8"/>
    <w:rsid w:val="1D38208F"/>
    <w:rsid w:val="1D6720D4"/>
    <w:rsid w:val="1D684B8F"/>
    <w:rsid w:val="1DA0124D"/>
    <w:rsid w:val="1DA25467"/>
    <w:rsid w:val="1DBF4A6B"/>
    <w:rsid w:val="1DD64F0E"/>
    <w:rsid w:val="1DD72680"/>
    <w:rsid w:val="1DEF51A5"/>
    <w:rsid w:val="1E372204"/>
    <w:rsid w:val="1E392EB5"/>
    <w:rsid w:val="1E3A3309"/>
    <w:rsid w:val="1E6146D2"/>
    <w:rsid w:val="1E7B1832"/>
    <w:rsid w:val="1E837B79"/>
    <w:rsid w:val="1EAC226A"/>
    <w:rsid w:val="1EB1090D"/>
    <w:rsid w:val="1EBE1CBE"/>
    <w:rsid w:val="1EC06458"/>
    <w:rsid w:val="1EE07AD6"/>
    <w:rsid w:val="1EE1355C"/>
    <w:rsid w:val="1EF65465"/>
    <w:rsid w:val="1F0A6406"/>
    <w:rsid w:val="1F1A35D9"/>
    <w:rsid w:val="1F2203F8"/>
    <w:rsid w:val="1F2871CE"/>
    <w:rsid w:val="1F3C63AD"/>
    <w:rsid w:val="1F4154DB"/>
    <w:rsid w:val="1F733E32"/>
    <w:rsid w:val="1F76123B"/>
    <w:rsid w:val="1F7A60CD"/>
    <w:rsid w:val="1F966982"/>
    <w:rsid w:val="1F9C4F8F"/>
    <w:rsid w:val="1FB05DBD"/>
    <w:rsid w:val="1FB2235F"/>
    <w:rsid w:val="1FB41064"/>
    <w:rsid w:val="1FB67401"/>
    <w:rsid w:val="1FCA5B21"/>
    <w:rsid w:val="1FCE3A03"/>
    <w:rsid w:val="1FCF706E"/>
    <w:rsid w:val="1FDA4812"/>
    <w:rsid w:val="1FE60DA4"/>
    <w:rsid w:val="1FF9296D"/>
    <w:rsid w:val="1FFA455A"/>
    <w:rsid w:val="203876E8"/>
    <w:rsid w:val="203A6388"/>
    <w:rsid w:val="20621094"/>
    <w:rsid w:val="20807884"/>
    <w:rsid w:val="20A04867"/>
    <w:rsid w:val="20AA1E86"/>
    <w:rsid w:val="20AF49BF"/>
    <w:rsid w:val="20BD33D8"/>
    <w:rsid w:val="20C26E1E"/>
    <w:rsid w:val="20C635B3"/>
    <w:rsid w:val="20D46075"/>
    <w:rsid w:val="20F04AD2"/>
    <w:rsid w:val="20F246B6"/>
    <w:rsid w:val="210422DB"/>
    <w:rsid w:val="21087D8B"/>
    <w:rsid w:val="2110216E"/>
    <w:rsid w:val="21177913"/>
    <w:rsid w:val="214E4B9A"/>
    <w:rsid w:val="2150424B"/>
    <w:rsid w:val="21531C6C"/>
    <w:rsid w:val="2165405A"/>
    <w:rsid w:val="2166354A"/>
    <w:rsid w:val="218372B1"/>
    <w:rsid w:val="21892FEB"/>
    <w:rsid w:val="218B0234"/>
    <w:rsid w:val="219E2857"/>
    <w:rsid w:val="21AA63CE"/>
    <w:rsid w:val="21B23ADB"/>
    <w:rsid w:val="21B24417"/>
    <w:rsid w:val="21B90CF6"/>
    <w:rsid w:val="21CD7922"/>
    <w:rsid w:val="21D603C5"/>
    <w:rsid w:val="21D82A16"/>
    <w:rsid w:val="21DC3709"/>
    <w:rsid w:val="21E4725F"/>
    <w:rsid w:val="21E85F89"/>
    <w:rsid w:val="21F141D1"/>
    <w:rsid w:val="21F84023"/>
    <w:rsid w:val="221B2838"/>
    <w:rsid w:val="2242006C"/>
    <w:rsid w:val="22447B6E"/>
    <w:rsid w:val="2248156B"/>
    <w:rsid w:val="224D7956"/>
    <w:rsid w:val="226E2C9F"/>
    <w:rsid w:val="226F2DD3"/>
    <w:rsid w:val="22754808"/>
    <w:rsid w:val="22895AEB"/>
    <w:rsid w:val="228B74C9"/>
    <w:rsid w:val="22B16DEA"/>
    <w:rsid w:val="22B318DA"/>
    <w:rsid w:val="22B508A0"/>
    <w:rsid w:val="22BA6F8D"/>
    <w:rsid w:val="22DC50EF"/>
    <w:rsid w:val="23413841"/>
    <w:rsid w:val="234909E9"/>
    <w:rsid w:val="236D5295"/>
    <w:rsid w:val="23716D6E"/>
    <w:rsid w:val="2371744A"/>
    <w:rsid w:val="23740A16"/>
    <w:rsid w:val="237F0CDC"/>
    <w:rsid w:val="238100C9"/>
    <w:rsid w:val="23883FAC"/>
    <w:rsid w:val="238B7920"/>
    <w:rsid w:val="23B018FE"/>
    <w:rsid w:val="23B7298A"/>
    <w:rsid w:val="23C80784"/>
    <w:rsid w:val="241E5EE0"/>
    <w:rsid w:val="241F351E"/>
    <w:rsid w:val="24330DE3"/>
    <w:rsid w:val="243B4F8C"/>
    <w:rsid w:val="24822C7E"/>
    <w:rsid w:val="24A5409A"/>
    <w:rsid w:val="24B744E2"/>
    <w:rsid w:val="24CF1103"/>
    <w:rsid w:val="24DA705D"/>
    <w:rsid w:val="24DE618F"/>
    <w:rsid w:val="24E643F7"/>
    <w:rsid w:val="250526F6"/>
    <w:rsid w:val="25103B0E"/>
    <w:rsid w:val="251C5797"/>
    <w:rsid w:val="251C7702"/>
    <w:rsid w:val="253F42CE"/>
    <w:rsid w:val="25524B1F"/>
    <w:rsid w:val="25871A0C"/>
    <w:rsid w:val="25B07748"/>
    <w:rsid w:val="25E53822"/>
    <w:rsid w:val="25E818AA"/>
    <w:rsid w:val="25F6697D"/>
    <w:rsid w:val="262E21C4"/>
    <w:rsid w:val="2634583B"/>
    <w:rsid w:val="26372F27"/>
    <w:rsid w:val="263A5937"/>
    <w:rsid w:val="265B732A"/>
    <w:rsid w:val="26625CB0"/>
    <w:rsid w:val="26745388"/>
    <w:rsid w:val="26826F1A"/>
    <w:rsid w:val="26914A9F"/>
    <w:rsid w:val="26953B5C"/>
    <w:rsid w:val="26A35303"/>
    <w:rsid w:val="26D8332A"/>
    <w:rsid w:val="271C6360"/>
    <w:rsid w:val="272133AA"/>
    <w:rsid w:val="2739481F"/>
    <w:rsid w:val="274F5376"/>
    <w:rsid w:val="276C56CF"/>
    <w:rsid w:val="279C54B9"/>
    <w:rsid w:val="27AD145E"/>
    <w:rsid w:val="27AD4641"/>
    <w:rsid w:val="27D01244"/>
    <w:rsid w:val="27DE7716"/>
    <w:rsid w:val="27E40663"/>
    <w:rsid w:val="27E6425B"/>
    <w:rsid w:val="27EC152A"/>
    <w:rsid w:val="27F21E52"/>
    <w:rsid w:val="280F3A90"/>
    <w:rsid w:val="282B78FD"/>
    <w:rsid w:val="28555557"/>
    <w:rsid w:val="285731E5"/>
    <w:rsid w:val="28711427"/>
    <w:rsid w:val="2873214A"/>
    <w:rsid w:val="28834712"/>
    <w:rsid w:val="28B74F10"/>
    <w:rsid w:val="28BF321B"/>
    <w:rsid w:val="28F13530"/>
    <w:rsid w:val="28FF31A1"/>
    <w:rsid w:val="290F1036"/>
    <w:rsid w:val="291E0E4F"/>
    <w:rsid w:val="29314F0B"/>
    <w:rsid w:val="29382034"/>
    <w:rsid w:val="29701559"/>
    <w:rsid w:val="298B6ED9"/>
    <w:rsid w:val="29954A71"/>
    <w:rsid w:val="29A16D27"/>
    <w:rsid w:val="29C36DCE"/>
    <w:rsid w:val="29C918B9"/>
    <w:rsid w:val="2A077E12"/>
    <w:rsid w:val="2A0D3E37"/>
    <w:rsid w:val="2A1842E1"/>
    <w:rsid w:val="2A273BE7"/>
    <w:rsid w:val="2A2A4185"/>
    <w:rsid w:val="2A3C70C3"/>
    <w:rsid w:val="2A5424AE"/>
    <w:rsid w:val="2A682A86"/>
    <w:rsid w:val="2A6E3581"/>
    <w:rsid w:val="2A797564"/>
    <w:rsid w:val="2A986CC6"/>
    <w:rsid w:val="2A9D7103"/>
    <w:rsid w:val="2AA02440"/>
    <w:rsid w:val="2ABF72AF"/>
    <w:rsid w:val="2AC76E11"/>
    <w:rsid w:val="2AFA6053"/>
    <w:rsid w:val="2B0019F9"/>
    <w:rsid w:val="2B082372"/>
    <w:rsid w:val="2B0B3551"/>
    <w:rsid w:val="2B2C5D81"/>
    <w:rsid w:val="2B336A43"/>
    <w:rsid w:val="2B411568"/>
    <w:rsid w:val="2B506237"/>
    <w:rsid w:val="2B5B6074"/>
    <w:rsid w:val="2B5E2928"/>
    <w:rsid w:val="2B6A5EFA"/>
    <w:rsid w:val="2B7309F7"/>
    <w:rsid w:val="2B73215C"/>
    <w:rsid w:val="2B8074E2"/>
    <w:rsid w:val="2B9C0E63"/>
    <w:rsid w:val="2BAD4D91"/>
    <w:rsid w:val="2BC07022"/>
    <w:rsid w:val="2BE92933"/>
    <w:rsid w:val="2BF13CDE"/>
    <w:rsid w:val="2BFA08B6"/>
    <w:rsid w:val="2C347E9F"/>
    <w:rsid w:val="2C350894"/>
    <w:rsid w:val="2C396626"/>
    <w:rsid w:val="2C4329C1"/>
    <w:rsid w:val="2C4472D5"/>
    <w:rsid w:val="2C497D96"/>
    <w:rsid w:val="2C4B750B"/>
    <w:rsid w:val="2C502B24"/>
    <w:rsid w:val="2C52676D"/>
    <w:rsid w:val="2C595674"/>
    <w:rsid w:val="2C5F2770"/>
    <w:rsid w:val="2C8F48E6"/>
    <w:rsid w:val="2C944E83"/>
    <w:rsid w:val="2CB35C8A"/>
    <w:rsid w:val="2CB76182"/>
    <w:rsid w:val="2CD51B7D"/>
    <w:rsid w:val="2CDE3F14"/>
    <w:rsid w:val="2CF31819"/>
    <w:rsid w:val="2D030BA2"/>
    <w:rsid w:val="2D17196C"/>
    <w:rsid w:val="2D1E4842"/>
    <w:rsid w:val="2D27099A"/>
    <w:rsid w:val="2D31266F"/>
    <w:rsid w:val="2D345202"/>
    <w:rsid w:val="2D3B24A0"/>
    <w:rsid w:val="2D474EA7"/>
    <w:rsid w:val="2D6A012D"/>
    <w:rsid w:val="2D8461E7"/>
    <w:rsid w:val="2DC30753"/>
    <w:rsid w:val="2DD05127"/>
    <w:rsid w:val="2DF53456"/>
    <w:rsid w:val="2E273953"/>
    <w:rsid w:val="2E3E2275"/>
    <w:rsid w:val="2E47665A"/>
    <w:rsid w:val="2E4F32FB"/>
    <w:rsid w:val="2E52546C"/>
    <w:rsid w:val="2E533FCD"/>
    <w:rsid w:val="2E591D4A"/>
    <w:rsid w:val="2E604EC0"/>
    <w:rsid w:val="2E660554"/>
    <w:rsid w:val="2E925AA9"/>
    <w:rsid w:val="2EC05E93"/>
    <w:rsid w:val="2ECF4C27"/>
    <w:rsid w:val="2EEC472F"/>
    <w:rsid w:val="2EF0211E"/>
    <w:rsid w:val="2F002CCF"/>
    <w:rsid w:val="2F006370"/>
    <w:rsid w:val="2F2345A7"/>
    <w:rsid w:val="2F311698"/>
    <w:rsid w:val="2F3900AF"/>
    <w:rsid w:val="2F3F7AD8"/>
    <w:rsid w:val="2F52273E"/>
    <w:rsid w:val="2F550B34"/>
    <w:rsid w:val="2F5B5316"/>
    <w:rsid w:val="2FA35B62"/>
    <w:rsid w:val="2FAB2CE2"/>
    <w:rsid w:val="2FC9540C"/>
    <w:rsid w:val="2FCA4062"/>
    <w:rsid w:val="2FD7735E"/>
    <w:rsid w:val="2FD8307F"/>
    <w:rsid w:val="300553F4"/>
    <w:rsid w:val="30063A51"/>
    <w:rsid w:val="30091B71"/>
    <w:rsid w:val="302644AD"/>
    <w:rsid w:val="30456354"/>
    <w:rsid w:val="304674D5"/>
    <w:rsid w:val="305C4151"/>
    <w:rsid w:val="306F5401"/>
    <w:rsid w:val="307B2F61"/>
    <w:rsid w:val="308C2215"/>
    <w:rsid w:val="30A96C89"/>
    <w:rsid w:val="30B801DC"/>
    <w:rsid w:val="30C415F7"/>
    <w:rsid w:val="30C929B3"/>
    <w:rsid w:val="30DC61E5"/>
    <w:rsid w:val="30E111CC"/>
    <w:rsid w:val="30E40CBE"/>
    <w:rsid w:val="30E965FD"/>
    <w:rsid w:val="30F06DAF"/>
    <w:rsid w:val="30FF64A4"/>
    <w:rsid w:val="31066F7A"/>
    <w:rsid w:val="312B12AE"/>
    <w:rsid w:val="312F24F0"/>
    <w:rsid w:val="31385AAE"/>
    <w:rsid w:val="315541E8"/>
    <w:rsid w:val="315669A4"/>
    <w:rsid w:val="3175466D"/>
    <w:rsid w:val="31A17E3D"/>
    <w:rsid w:val="31A354FA"/>
    <w:rsid w:val="31AE1822"/>
    <w:rsid w:val="31BE6ACC"/>
    <w:rsid w:val="31CB702D"/>
    <w:rsid w:val="31FC4A99"/>
    <w:rsid w:val="320473B9"/>
    <w:rsid w:val="32141EAB"/>
    <w:rsid w:val="3222532F"/>
    <w:rsid w:val="324D33C6"/>
    <w:rsid w:val="325413A2"/>
    <w:rsid w:val="325B1A13"/>
    <w:rsid w:val="326910D1"/>
    <w:rsid w:val="32852E6E"/>
    <w:rsid w:val="328B3CC3"/>
    <w:rsid w:val="32996DE7"/>
    <w:rsid w:val="32C432DE"/>
    <w:rsid w:val="32D64866"/>
    <w:rsid w:val="32DB6FB8"/>
    <w:rsid w:val="32E10FE3"/>
    <w:rsid w:val="33094A5B"/>
    <w:rsid w:val="33117358"/>
    <w:rsid w:val="3312166A"/>
    <w:rsid w:val="33175015"/>
    <w:rsid w:val="331A5ACA"/>
    <w:rsid w:val="33217B3E"/>
    <w:rsid w:val="33565C2E"/>
    <w:rsid w:val="33580422"/>
    <w:rsid w:val="33591307"/>
    <w:rsid w:val="336152DE"/>
    <w:rsid w:val="33965FAB"/>
    <w:rsid w:val="33B45DC9"/>
    <w:rsid w:val="33B67016"/>
    <w:rsid w:val="33C43AEA"/>
    <w:rsid w:val="3422568A"/>
    <w:rsid w:val="34341290"/>
    <w:rsid w:val="346B37C6"/>
    <w:rsid w:val="34801713"/>
    <w:rsid w:val="34873127"/>
    <w:rsid w:val="348E55BA"/>
    <w:rsid w:val="349F3601"/>
    <w:rsid w:val="34AF00E0"/>
    <w:rsid w:val="34DA55CC"/>
    <w:rsid w:val="34E65A92"/>
    <w:rsid w:val="350143A7"/>
    <w:rsid w:val="351F4489"/>
    <w:rsid w:val="35287A57"/>
    <w:rsid w:val="353D3934"/>
    <w:rsid w:val="354F7ED2"/>
    <w:rsid w:val="355E5713"/>
    <w:rsid w:val="35846BE3"/>
    <w:rsid w:val="35972A3B"/>
    <w:rsid w:val="35E875BC"/>
    <w:rsid w:val="35F16512"/>
    <w:rsid w:val="35F5433F"/>
    <w:rsid w:val="35F96A44"/>
    <w:rsid w:val="36067D1A"/>
    <w:rsid w:val="36070DE0"/>
    <w:rsid w:val="360E54BC"/>
    <w:rsid w:val="36362812"/>
    <w:rsid w:val="36373C70"/>
    <w:rsid w:val="36403D87"/>
    <w:rsid w:val="364F31CC"/>
    <w:rsid w:val="36533199"/>
    <w:rsid w:val="36550B32"/>
    <w:rsid w:val="36732BF6"/>
    <w:rsid w:val="368B2596"/>
    <w:rsid w:val="36A520D1"/>
    <w:rsid w:val="36A728D7"/>
    <w:rsid w:val="36A81D0C"/>
    <w:rsid w:val="36BA1A65"/>
    <w:rsid w:val="36CA3DD2"/>
    <w:rsid w:val="36DE6663"/>
    <w:rsid w:val="36E37179"/>
    <w:rsid w:val="36E70E16"/>
    <w:rsid w:val="37095F0C"/>
    <w:rsid w:val="3716370F"/>
    <w:rsid w:val="373452E9"/>
    <w:rsid w:val="37350FB3"/>
    <w:rsid w:val="37381EB6"/>
    <w:rsid w:val="373D22DA"/>
    <w:rsid w:val="37435F49"/>
    <w:rsid w:val="37485BE3"/>
    <w:rsid w:val="37660DFE"/>
    <w:rsid w:val="37662AD9"/>
    <w:rsid w:val="377847EE"/>
    <w:rsid w:val="37B32389"/>
    <w:rsid w:val="37B730CA"/>
    <w:rsid w:val="38075BBA"/>
    <w:rsid w:val="38323E4B"/>
    <w:rsid w:val="3832712E"/>
    <w:rsid w:val="38397455"/>
    <w:rsid w:val="384D7222"/>
    <w:rsid w:val="38517B18"/>
    <w:rsid w:val="385F017E"/>
    <w:rsid w:val="386F7B8C"/>
    <w:rsid w:val="38817D91"/>
    <w:rsid w:val="3882258B"/>
    <w:rsid w:val="38AF3335"/>
    <w:rsid w:val="38C574C5"/>
    <w:rsid w:val="38CC0507"/>
    <w:rsid w:val="38CE2C9D"/>
    <w:rsid w:val="38F22B4C"/>
    <w:rsid w:val="390F3116"/>
    <w:rsid w:val="393A2E59"/>
    <w:rsid w:val="39507EF3"/>
    <w:rsid w:val="395540CD"/>
    <w:rsid w:val="395837E3"/>
    <w:rsid w:val="396A580C"/>
    <w:rsid w:val="396E2A7D"/>
    <w:rsid w:val="39877D65"/>
    <w:rsid w:val="3988231E"/>
    <w:rsid w:val="39EB462C"/>
    <w:rsid w:val="39EB54D3"/>
    <w:rsid w:val="39F85D59"/>
    <w:rsid w:val="39FD0D50"/>
    <w:rsid w:val="39FE15BF"/>
    <w:rsid w:val="3A080B73"/>
    <w:rsid w:val="3A22756F"/>
    <w:rsid w:val="3A251592"/>
    <w:rsid w:val="3A4A4509"/>
    <w:rsid w:val="3A4A4682"/>
    <w:rsid w:val="3A661483"/>
    <w:rsid w:val="3A6C3EA4"/>
    <w:rsid w:val="3A7D5FB0"/>
    <w:rsid w:val="3A9A4E4D"/>
    <w:rsid w:val="3AC0597D"/>
    <w:rsid w:val="3AC462A7"/>
    <w:rsid w:val="3AD12E3D"/>
    <w:rsid w:val="3AE40CD2"/>
    <w:rsid w:val="3AFB7E2B"/>
    <w:rsid w:val="3B130894"/>
    <w:rsid w:val="3B425370"/>
    <w:rsid w:val="3B4C2C66"/>
    <w:rsid w:val="3B5A4682"/>
    <w:rsid w:val="3B6160CE"/>
    <w:rsid w:val="3B695481"/>
    <w:rsid w:val="3B7E4F7B"/>
    <w:rsid w:val="3B826EA2"/>
    <w:rsid w:val="3B8D49BE"/>
    <w:rsid w:val="3B8E1A33"/>
    <w:rsid w:val="3BB7261E"/>
    <w:rsid w:val="3BB848EB"/>
    <w:rsid w:val="3BC27246"/>
    <w:rsid w:val="3BDF1B48"/>
    <w:rsid w:val="3BE64173"/>
    <w:rsid w:val="3BF22D83"/>
    <w:rsid w:val="3BFD378B"/>
    <w:rsid w:val="3C0A1B9B"/>
    <w:rsid w:val="3C3510EF"/>
    <w:rsid w:val="3C394BC9"/>
    <w:rsid w:val="3C4C51D3"/>
    <w:rsid w:val="3C4E5C21"/>
    <w:rsid w:val="3C4F51A9"/>
    <w:rsid w:val="3C5046B3"/>
    <w:rsid w:val="3C713A5A"/>
    <w:rsid w:val="3C7E7A64"/>
    <w:rsid w:val="3C8850F5"/>
    <w:rsid w:val="3CAF41AD"/>
    <w:rsid w:val="3CCF4D07"/>
    <w:rsid w:val="3CE63C48"/>
    <w:rsid w:val="3CE75118"/>
    <w:rsid w:val="3CF91C80"/>
    <w:rsid w:val="3D15561C"/>
    <w:rsid w:val="3D3906FF"/>
    <w:rsid w:val="3D565CA3"/>
    <w:rsid w:val="3D5B4D6F"/>
    <w:rsid w:val="3D6350FC"/>
    <w:rsid w:val="3D6721EF"/>
    <w:rsid w:val="3D6B0B5A"/>
    <w:rsid w:val="3D75049E"/>
    <w:rsid w:val="3D8769F2"/>
    <w:rsid w:val="3D8966C8"/>
    <w:rsid w:val="3D8E456D"/>
    <w:rsid w:val="3D9550FF"/>
    <w:rsid w:val="3DA02C86"/>
    <w:rsid w:val="3DD64F9E"/>
    <w:rsid w:val="3DDB7B26"/>
    <w:rsid w:val="3DE46468"/>
    <w:rsid w:val="3DEB1384"/>
    <w:rsid w:val="3E031B13"/>
    <w:rsid w:val="3E132CBC"/>
    <w:rsid w:val="3E2E721E"/>
    <w:rsid w:val="3E3C3856"/>
    <w:rsid w:val="3E3E149C"/>
    <w:rsid w:val="3E5813BB"/>
    <w:rsid w:val="3E993C30"/>
    <w:rsid w:val="3EB97CF5"/>
    <w:rsid w:val="3EBC10BD"/>
    <w:rsid w:val="3EC462B2"/>
    <w:rsid w:val="3ECF04D9"/>
    <w:rsid w:val="3EE17F42"/>
    <w:rsid w:val="3EEA7F5C"/>
    <w:rsid w:val="3F0547FD"/>
    <w:rsid w:val="3F054F34"/>
    <w:rsid w:val="3F0D6C87"/>
    <w:rsid w:val="3F180437"/>
    <w:rsid w:val="3F1F73C5"/>
    <w:rsid w:val="3F305651"/>
    <w:rsid w:val="3F6B0BD0"/>
    <w:rsid w:val="3F6F0B3D"/>
    <w:rsid w:val="3F7D332F"/>
    <w:rsid w:val="3F8B122E"/>
    <w:rsid w:val="3F8B4A0F"/>
    <w:rsid w:val="3FB845C2"/>
    <w:rsid w:val="3FD948FD"/>
    <w:rsid w:val="3FF25028"/>
    <w:rsid w:val="3FF7343F"/>
    <w:rsid w:val="3FFC27D9"/>
    <w:rsid w:val="3FFE2E51"/>
    <w:rsid w:val="401D0210"/>
    <w:rsid w:val="402312B7"/>
    <w:rsid w:val="40387186"/>
    <w:rsid w:val="40387730"/>
    <w:rsid w:val="403D083F"/>
    <w:rsid w:val="404D204C"/>
    <w:rsid w:val="407B70C1"/>
    <w:rsid w:val="40993E1A"/>
    <w:rsid w:val="409A7BB1"/>
    <w:rsid w:val="40AC0F28"/>
    <w:rsid w:val="40BC0B67"/>
    <w:rsid w:val="40BF6C33"/>
    <w:rsid w:val="40CA60A8"/>
    <w:rsid w:val="40EE6183"/>
    <w:rsid w:val="40F500FD"/>
    <w:rsid w:val="41157045"/>
    <w:rsid w:val="411815F0"/>
    <w:rsid w:val="41331F67"/>
    <w:rsid w:val="4148151F"/>
    <w:rsid w:val="414A775C"/>
    <w:rsid w:val="41773D38"/>
    <w:rsid w:val="41837C1F"/>
    <w:rsid w:val="41A1697B"/>
    <w:rsid w:val="41B85231"/>
    <w:rsid w:val="41CE3942"/>
    <w:rsid w:val="41E07A49"/>
    <w:rsid w:val="41E23D0C"/>
    <w:rsid w:val="420F485B"/>
    <w:rsid w:val="423F641F"/>
    <w:rsid w:val="425A29DF"/>
    <w:rsid w:val="425E2FDF"/>
    <w:rsid w:val="426054F8"/>
    <w:rsid w:val="426629BC"/>
    <w:rsid w:val="4282132D"/>
    <w:rsid w:val="42835175"/>
    <w:rsid w:val="42940B7E"/>
    <w:rsid w:val="429A0018"/>
    <w:rsid w:val="429D798C"/>
    <w:rsid w:val="42B33C88"/>
    <w:rsid w:val="42B615EE"/>
    <w:rsid w:val="42CA77DA"/>
    <w:rsid w:val="42D3185C"/>
    <w:rsid w:val="42DD37AA"/>
    <w:rsid w:val="42E11A4F"/>
    <w:rsid w:val="42ED6539"/>
    <w:rsid w:val="431B2491"/>
    <w:rsid w:val="43314B4A"/>
    <w:rsid w:val="433D059F"/>
    <w:rsid w:val="433E2DD7"/>
    <w:rsid w:val="434034EE"/>
    <w:rsid w:val="43460FC9"/>
    <w:rsid w:val="43672A06"/>
    <w:rsid w:val="436F0790"/>
    <w:rsid w:val="436F4663"/>
    <w:rsid w:val="43746B94"/>
    <w:rsid w:val="437559B7"/>
    <w:rsid w:val="43772825"/>
    <w:rsid w:val="4378114C"/>
    <w:rsid w:val="439A63AC"/>
    <w:rsid w:val="439E5281"/>
    <w:rsid w:val="43A266B2"/>
    <w:rsid w:val="43B2447A"/>
    <w:rsid w:val="43C92256"/>
    <w:rsid w:val="43CB41A5"/>
    <w:rsid w:val="43DD3580"/>
    <w:rsid w:val="43E71302"/>
    <w:rsid w:val="43EB160A"/>
    <w:rsid w:val="43F200AA"/>
    <w:rsid w:val="43F262C0"/>
    <w:rsid w:val="440743EC"/>
    <w:rsid w:val="443269BE"/>
    <w:rsid w:val="44532C86"/>
    <w:rsid w:val="447E0652"/>
    <w:rsid w:val="447E5389"/>
    <w:rsid w:val="448E0768"/>
    <w:rsid w:val="44C2689C"/>
    <w:rsid w:val="44CD107A"/>
    <w:rsid w:val="44E1472D"/>
    <w:rsid w:val="44E354AD"/>
    <w:rsid w:val="44EF1B0F"/>
    <w:rsid w:val="44F613DC"/>
    <w:rsid w:val="44F71067"/>
    <w:rsid w:val="45246681"/>
    <w:rsid w:val="455828A2"/>
    <w:rsid w:val="45711EB5"/>
    <w:rsid w:val="45834718"/>
    <w:rsid w:val="458365F3"/>
    <w:rsid w:val="45912B8F"/>
    <w:rsid w:val="45A4600E"/>
    <w:rsid w:val="45B11ECE"/>
    <w:rsid w:val="45CD12E9"/>
    <w:rsid w:val="45D05CD7"/>
    <w:rsid w:val="45D60E83"/>
    <w:rsid w:val="45D85451"/>
    <w:rsid w:val="45DC583D"/>
    <w:rsid w:val="45E02087"/>
    <w:rsid w:val="45F562E2"/>
    <w:rsid w:val="460E0B81"/>
    <w:rsid w:val="46137C67"/>
    <w:rsid w:val="46186B05"/>
    <w:rsid w:val="46382A08"/>
    <w:rsid w:val="46415651"/>
    <w:rsid w:val="464E7078"/>
    <w:rsid w:val="464F411F"/>
    <w:rsid w:val="466550A8"/>
    <w:rsid w:val="466A3BFD"/>
    <w:rsid w:val="46764DB5"/>
    <w:rsid w:val="46812A39"/>
    <w:rsid w:val="46A15F51"/>
    <w:rsid w:val="46B24387"/>
    <w:rsid w:val="46B50B75"/>
    <w:rsid w:val="46EB448A"/>
    <w:rsid w:val="46F94063"/>
    <w:rsid w:val="46FB617D"/>
    <w:rsid w:val="46FD4CBB"/>
    <w:rsid w:val="470259B6"/>
    <w:rsid w:val="47104A7E"/>
    <w:rsid w:val="4720777E"/>
    <w:rsid w:val="47401F57"/>
    <w:rsid w:val="47433CA8"/>
    <w:rsid w:val="47625BD8"/>
    <w:rsid w:val="47840B46"/>
    <w:rsid w:val="47A62000"/>
    <w:rsid w:val="47B836BF"/>
    <w:rsid w:val="47BA3C7E"/>
    <w:rsid w:val="47C97558"/>
    <w:rsid w:val="47FF6C66"/>
    <w:rsid w:val="480E62E2"/>
    <w:rsid w:val="48143DF7"/>
    <w:rsid w:val="481A01A3"/>
    <w:rsid w:val="48220312"/>
    <w:rsid w:val="482E4451"/>
    <w:rsid w:val="48331326"/>
    <w:rsid w:val="48341D07"/>
    <w:rsid w:val="483A1FCE"/>
    <w:rsid w:val="483D0BFB"/>
    <w:rsid w:val="48436C52"/>
    <w:rsid w:val="484E71DD"/>
    <w:rsid w:val="48593733"/>
    <w:rsid w:val="485C0228"/>
    <w:rsid w:val="4868784C"/>
    <w:rsid w:val="487528A0"/>
    <w:rsid w:val="4883696B"/>
    <w:rsid w:val="488C4697"/>
    <w:rsid w:val="48901D5B"/>
    <w:rsid w:val="489C4374"/>
    <w:rsid w:val="48AA46E6"/>
    <w:rsid w:val="48B13327"/>
    <w:rsid w:val="48C04213"/>
    <w:rsid w:val="48D55252"/>
    <w:rsid w:val="48D56424"/>
    <w:rsid w:val="48DF3D13"/>
    <w:rsid w:val="48E429AA"/>
    <w:rsid w:val="48E92B42"/>
    <w:rsid w:val="48FC387F"/>
    <w:rsid w:val="49297C11"/>
    <w:rsid w:val="49681CAC"/>
    <w:rsid w:val="499A0FCE"/>
    <w:rsid w:val="49A6757C"/>
    <w:rsid w:val="49A67EC6"/>
    <w:rsid w:val="49AA6295"/>
    <w:rsid w:val="49AF0BA6"/>
    <w:rsid w:val="49B36C0C"/>
    <w:rsid w:val="49BA2A83"/>
    <w:rsid w:val="49EA3B80"/>
    <w:rsid w:val="49EB7596"/>
    <w:rsid w:val="49F0400B"/>
    <w:rsid w:val="49F63769"/>
    <w:rsid w:val="49FB3A21"/>
    <w:rsid w:val="4A201E5F"/>
    <w:rsid w:val="4A3306D5"/>
    <w:rsid w:val="4A337537"/>
    <w:rsid w:val="4A520D7A"/>
    <w:rsid w:val="4A5E1922"/>
    <w:rsid w:val="4A8E2E63"/>
    <w:rsid w:val="4A980B7A"/>
    <w:rsid w:val="4AAD13A2"/>
    <w:rsid w:val="4AB808BE"/>
    <w:rsid w:val="4AD66BAA"/>
    <w:rsid w:val="4ADF2220"/>
    <w:rsid w:val="4B077AED"/>
    <w:rsid w:val="4B12542E"/>
    <w:rsid w:val="4B1F7E1C"/>
    <w:rsid w:val="4B207725"/>
    <w:rsid w:val="4B2466D1"/>
    <w:rsid w:val="4B3370FA"/>
    <w:rsid w:val="4B5F151A"/>
    <w:rsid w:val="4B601366"/>
    <w:rsid w:val="4B760F57"/>
    <w:rsid w:val="4B896479"/>
    <w:rsid w:val="4B9A2087"/>
    <w:rsid w:val="4BBF39D6"/>
    <w:rsid w:val="4BC61FF1"/>
    <w:rsid w:val="4BD5581B"/>
    <w:rsid w:val="4BE65F38"/>
    <w:rsid w:val="4BF62AEF"/>
    <w:rsid w:val="4BFD1688"/>
    <w:rsid w:val="4C09723A"/>
    <w:rsid w:val="4C157683"/>
    <w:rsid w:val="4C3676CF"/>
    <w:rsid w:val="4C4B7808"/>
    <w:rsid w:val="4C510C8C"/>
    <w:rsid w:val="4C7A2C21"/>
    <w:rsid w:val="4C7E0483"/>
    <w:rsid w:val="4C7F0805"/>
    <w:rsid w:val="4C9A506F"/>
    <w:rsid w:val="4CA505B9"/>
    <w:rsid w:val="4CAA45CA"/>
    <w:rsid w:val="4CC77BE0"/>
    <w:rsid w:val="4CEB2349"/>
    <w:rsid w:val="4D046C13"/>
    <w:rsid w:val="4D2943CE"/>
    <w:rsid w:val="4D2E6423"/>
    <w:rsid w:val="4D313BC4"/>
    <w:rsid w:val="4D54267C"/>
    <w:rsid w:val="4D5D3B35"/>
    <w:rsid w:val="4D7A5834"/>
    <w:rsid w:val="4D7C3CB4"/>
    <w:rsid w:val="4D8508DF"/>
    <w:rsid w:val="4D8954FD"/>
    <w:rsid w:val="4D8A3E7F"/>
    <w:rsid w:val="4DB959BA"/>
    <w:rsid w:val="4DD41C6B"/>
    <w:rsid w:val="4DD51D23"/>
    <w:rsid w:val="4DE42A79"/>
    <w:rsid w:val="4DED7FA5"/>
    <w:rsid w:val="4DF90C0E"/>
    <w:rsid w:val="4E257C43"/>
    <w:rsid w:val="4E300D3E"/>
    <w:rsid w:val="4E4E1548"/>
    <w:rsid w:val="4E5852E3"/>
    <w:rsid w:val="4E5E309B"/>
    <w:rsid w:val="4E67590E"/>
    <w:rsid w:val="4E6C0DA5"/>
    <w:rsid w:val="4E747E2C"/>
    <w:rsid w:val="4E854EA5"/>
    <w:rsid w:val="4E8A5A0D"/>
    <w:rsid w:val="4EA418B6"/>
    <w:rsid w:val="4EAE648B"/>
    <w:rsid w:val="4EDF073D"/>
    <w:rsid w:val="4EF84A5F"/>
    <w:rsid w:val="4F0D2D01"/>
    <w:rsid w:val="4F15186D"/>
    <w:rsid w:val="4F2B3248"/>
    <w:rsid w:val="4F2F2D69"/>
    <w:rsid w:val="4F37431C"/>
    <w:rsid w:val="4F474F7F"/>
    <w:rsid w:val="4F477823"/>
    <w:rsid w:val="4F514A31"/>
    <w:rsid w:val="4F580F27"/>
    <w:rsid w:val="4F6538BD"/>
    <w:rsid w:val="4F86314A"/>
    <w:rsid w:val="4F8F638C"/>
    <w:rsid w:val="500646E5"/>
    <w:rsid w:val="501A41A8"/>
    <w:rsid w:val="502164A4"/>
    <w:rsid w:val="50304A0D"/>
    <w:rsid w:val="505F595F"/>
    <w:rsid w:val="507B30C6"/>
    <w:rsid w:val="507D618C"/>
    <w:rsid w:val="50AB15C0"/>
    <w:rsid w:val="50B36A0C"/>
    <w:rsid w:val="50CD66D5"/>
    <w:rsid w:val="50E31089"/>
    <w:rsid w:val="50E33187"/>
    <w:rsid w:val="51161CCC"/>
    <w:rsid w:val="511A1D35"/>
    <w:rsid w:val="512A04B1"/>
    <w:rsid w:val="51354BF7"/>
    <w:rsid w:val="5155491B"/>
    <w:rsid w:val="515D5132"/>
    <w:rsid w:val="51692F1E"/>
    <w:rsid w:val="517167E7"/>
    <w:rsid w:val="51885D38"/>
    <w:rsid w:val="51950C56"/>
    <w:rsid w:val="519558AE"/>
    <w:rsid w:val="519C6822"/>
    <w:rsid w:val="519D6DB7"/>
    <w:rsid w:val="519E65D1"/>
    <w:rsid w:val="51A279D7"/>
    <w:rsid w:val="51A343EB"/>
    <w:rsid w:val="51A62DFD"/>
    <w:rsid w:val="51A90C40"/>
    <w:rsid w:val="51C56DD5"/>
    <w:rsid w:val="51CC407F"/>
    <w:rsid w:val="51DD7767"/>
    <w:rsid w:val="51EC3D7A"/>
    <w:rsid w:val="51F931AF"/>
    <w:rsid w:val="52254F03"/>
    <w:rsid w:val="52286190"/>
    <w:rsid w:val="522B7A7A"/>
    <w:rsid w:val="523B13F5"/>
    <w:rsid w:val="52524CEC"/>
    <w:rsid w:val="525C4A1A"/>
    <w:rsid w:val="52656ADD"/>
    <w:rsid w:val="528841F0"/>
    <w:rsid w:val="52A20323"/>
    <w:rsid w:val="52AA44A2"/>
    <w:rsid w:val="52B905DC"/>
    <w:rsid w:val="52BF0996"/>
    <w:rsid w:val="52E828B0"/>
    <w:rsid w:val="52F44EEA"/>
    <w:rsid w:val="52FD1675"/>
    <w:rsid w:val="53093884"/>
    <w:rsid w:val="530A2C23"/>
    <w:rsid w:val="533A2260"/>
    <w:rsid w:val="534E76F7"/>
    <w:rsid w:val="53617D1D"/>
    <w:rsid w:val="536A3AED"/>
    <w:rsid w:val="53725415"/>
    <w:rsid w:val="537E1270"/>
    <w:rsid w:val="53886D10"/>
    <w:rsid w:val="539D309E"/>
    <w:rsid w:val="53A54524"/>
    <w:rsid w:val="53A74AED"/>
    <w:rsid w:val="53A81CCF"/>
    <w:rsid w:val="53C66CBE"/>
    <w:rsid w:val="53DD5F66"/>
    <w:rsid w:val="53E320B0"/>
    <w:rsid w:val="544D280C"/>
    <w:rsid w:val="545111E4"/>
    <w:rsid w:val="54912EF5"/>
    <w:rsid w:val="54944A34"/>
    <w:rsid w:val="54A73C96"/>
    <w:rsid w:val="54B442FE"/>
    <w:rsid w:val="54CF4B4A"/>
    <w:rsid w:val="54D019BE"/>
    <w:rsid w:val="54F12FF7"/>
    <w:rsid w:val="550A1A28"/>
    <w:rsid w:val="55101203"/>
    <w:rsid w:val="551D0495"/>
    <w:rsid w:val="551F67C1"/>
    <w:rsid w:val="552D3977"/>
    <w:rsid w:val="5545273F"/>
    <w:rsid w:val="554D2192"/>
    <w:rsid w:val="555F0D72"/>
    <w:rsid w:val="55751398"/>
    <w:rsid w:val="55827DB6"/>
    <w:rsid w:val="55927265"/>
    <w:rsid w:val="55AE00F1"/>
    <w:rsid w:val="55B93254"/>
    <w:rsid w:val="55DC51A8"/>
    <w:rsid w:val="55DE6CF1"/>
    <w:rsid w:val="5603152E"/>
    <w:rsid w:val="56084121"/>
    <w:rsid w:val="560C7B36"/>
    <w:rsid w:val="56160B45"/>
    <w:rsid w:val="561D2636"/>
    <w:rsid w:val="56203D56"/>
    <w:rsid w:val="562637E2"/>
    <w:rsid w:val="563B59D4"/>
    <w:rsid w:val="5644243D"/>
    <w:rsid w:val="564674B0"/>
    <w:rsid w:val="56475DEB"/>
    <w:rsid w:val="56516E30"/>
    <w:rsid w:val="56533600"/>
    <w:rsid w:val="56560D49"/>
    <w:rsid w:val="565E15D2"/>
    <w:rsid w:val="568442B6"/>
    <w:rsid w:val="56A20296"/>
    <w:rsid w:val="56B048CC"/>
    <w:rsid w:val="56B407B4"/>
    <w:rsid w:val="56BD12B0"/>
    <w:rsid w:val="56C87572"/>
    <w:rsid w:val="56DB2373"/>
    <w:rsid w:val="56EC1029"/>
    <w:rsid w:val="570E2A10"/>
    <w:rsid w:val="5715236E"/>
    <w:rsid w:val="5715492E"/>
    <w:rsid w:val="57184752"/>
    <w:rsid w:val="571C5FCD"/>
    <w:rsid w:val="57253494"/>
    <w:rsid w:val="572D6771"/>
    <w:rsid w:val="573A01BE"/>
    <w:rsid w:val="57401E3B"/>
    <w:rsid w:val="5744649C"/>
    <w:rsid w:val="574B379B"/>
    <w:rsid w:val="575F7EFE"/>
    <w:rsid w:val="57AE03FD"/>
    <w:rsid w:val="57CF78B8"/>
    <w:rsid w:val="5800774E"/>
    <w:rsid w:val="581006E9"/>
    <w:rsid w:val="58116106"/>
    <w:rsid w:val="581A1EB5"/>
    <w:rsid w:val="5823123A"/>
    <w:rsid w:val="582A1B35"/>
    <w:rsid w:val="5849580B"/>
    <w:rsid w:val="585849AE"/>
    <w:rsid w:val="58667506"/>
    <w:rsid w:val="586E7582"/>
    <w:rsid w:val="58783A25"/>
    <w:rsid w:val="587937B7"/>
    <w:rsid w:val="58AD0820"/>
    <w:rsid w:val="58AF28FA"/>
    <w:rsid w:val="58B313A2"/>
    <w:rsid w:val="58B63F1B"/>
    <w:rsid w:val="58BA137F"/>
    <w:rsid w:val="58C82940"/>
    <w:rsid w:val="58F732C8"/>
    <w:rsid w:val="59100BD5"/>
    <w:rsid w:val="591A3B1A"/>
    <w:rsid w:val="591B6328"/>
    <w:rsid w:val="594D4286"/>
    <w:rsid w:val="595309D2"/>
    <w:rsid w:val="59564BFF"/>
    <w:rsid w:val="59567CDF"/>
    <w:rsid w:val="595D4436"/>
    <w:rsid w:val="596B7154"/>
    <w:rsid w:val="59794201"/>
    <w:rsid w:val="59841F7C"/>
    <w:rsid w:val="599D70C0"/>
    <w:rsid w:val="59A63953"/>
    <w:rsid w:val="59BA429B"/>
    <w:rsid w:val="59BC517F"/>
    <w:rsid w:val="59C83DBB"/>
    <w:rsid w:val="59CF3749"/>
    <w:rsid w:val="59E2334D"/>
    <w:rsid w:val="59E452C0"/>
    <w:rsid w:val="59E73111"/>
    <w:rsid w:val="59F327C0"/>
    <w:rsid w:val="5A186656"/>
    <w:rsid w:val="5A203D1A"/>
    <w:rsid w:val="5A205295"/>
    <w:rsid w:val="5A251A20"/>
    <w:rsid w:val="5A2F221E"/>
    <w:rsid w:val="5A3F5D1C"/>
    <w:rsid w:val="5A410AC8"/>
    <w:rsid w:val="5A5669FA"/>
    <w:rsid w:val="5A7F02D5"/>
    <w:rsid w:val="5A7F3323"/>
    <w:rsid w:val="5A9168E5"/>
    <w:rsid w:val="5AB72F65"/>
    <w:rsid w:val="5AD40E79"/>
    <w:rsid w:val="5AD54E39"/>
    <w:rsid w:val="5AFE2CE0"/>
    <w:rsid w:val="5B2755DE"/>
    <w:rsid w:val="5B2F1BD1"/>
    <w:rsid w:val="5B43243E"/>
    <w:rsid w:val="5B445A1B"/>
    <w:rsid w:val="5B801E99"/>
    <w:rsid w:val="5B846B4C"/>
    <w:rsid w:val="5B8764AE"/>
    <w:rsid w:val="5B9356CB"/>
    <w:rsid w:val="5B984AF9"/>
    <w:rsid w:val="5BAF64DC"/>
    <w:rsid w:val="5BB4169B"/>
    <w:rsid w:val="5BB91BB4"/>
    <w:rsid w:val="5BBC5927"/>
    <w:rsid w:val="5BCD3B9F"/>
    <w:rsid w:val="5BE7277D"/>
    <w:rsid w:val="5BEC0E4B"/>
    <w:rsid w:val="5BF07946"/>
    <w:rsid w:val="5BFF64C0"/>
    <w:rsid w:val="5C005156"/>
    <w:rsid w:val="5C1F2D39"/>
    <w:rsid w:val="5C426F98"/>
    <w:rsid w:val="5C593BE2"/>
    <w:rsid w:val="5C746C1C"/>
    <w:rsid w:val="5C773121"/>
    <w:rsid w:val="5CC3211B"/>
    <w:rsid w:val="5CD80B50"/>
    <w:rsid w:val="5CD84FFE"/>
    <w:rsid w:val="5CE23517"/>
    <w:rsid w:val="5CEE17DB"/>
    <w:rsid w:val="5CF823D4"/>
    <w:rsid w:val="5D061846"/>
    <w:rsid w:val="5D1338E1"/>
    <w:rsid w:val="5D2714EF"/>
    <w:rsid w:val="5D2A15DA"/>
    <w:rsid w:val="5D2C636B"/>
    <w:rsid w:val="5D3937EF"/>
    <w:rsid w:val="5D430BEC"/>
    <w:rsid w:val="5D593C9E"/>
    <w:rsid w:val="5D6D722F"/>
    <w:rsid w:val="5D751A66"/>
    <w:rsid w:val="5D7E14C4"/>
    <w:rsid w:val="5D7E3D46"/>
    <w:rsid w:val="5D87769C"/>
    <w:rsid w:val="5D877E15"/>
    <w:rsid w:val="5D8F0423"/>
    <w:rsid w:val="5DA81D58"/>
    <w:rsid w:val="5DCD5BC7"/>
    <w:rsid w:val="5DD0375B"/>
    <w:rsid w:val="5DDE5651"/>
    <w:rsid w:val="5DE57176"/>
    <w:rsid w:val="5DFD1CB9"/>
    <w:rsid w:val="5E1C4E15"/>
    <w:rsid w:val="5E1D49C2"/>
    <w:rsid w:val="5E262CCF"/>
    <w:rsid w:val="5E4162F7"/>
    <w:rsid w:val="5E5231B7"/>
    <w:rsid w:val="5E6007F8"/>
    <w:rsid w:val="5E601C59"/>
    <w:rsid w:val="5E62015C"/>
    <w:rsid w:val="5E67355C"/>
    <w:rsid w:val="5E6B632B"/>
    <w:rsid w:val="5E6B7B67"/>
    <w:rsid w:val="5E861629"/>
    <w:rsid w:val="5E922936"/>
    <w:rsid w:val="5EC049FD"/>
    <w:rsid w:val="5EC84DA5"/>
    <w:rsid w:val="5EDA5344"/>
    <w:rsid w:val="5F0266F7"/>
    <w:rsid w:val="5F0E5B21"/>
    <w:rsid w:val="5F26127E"/>
    <w:rsid w:val="5F2D4D96"/>
    <w:rsid w:val="5F2D75F2"/>
    <w:rsid w:val="5F3228CD"/>
    <w:rsid w:val="5F346C30"/>
    <w:rsid w:val="5F3B46FD"/>
    <w:rsid w:val="5F4F4554"/>
    <w:rsid w:val="5F5E7774"/>
    <w:rsid w:val="5F85721C"/>
    <w:rsid w:val="5F916BFA"/>
    <w:rsid w:val="5F9C5AC3"/>
    <w:rsid w:val="5FBF6040"/>
    <w:rsid w:val="5FEB49CC"/>
    <w:rsid w:val="5FEE572E"/>
    <w:rsid w:val="5FF336D2"/>
    <w:rsid w:val="5FFE3911"/>
    <w:rsid w:val="60133C51"/>
    <w:rsid w:val="60164E5C"/>
    <w:rsid w:val="602C1AA2"/>
    <w:rsid w:val="6064468D"/>
    <w:rsid w:val="60C24ECA"/>
    <w:rsid w:val="60C53248"/>
    <w:rsid w:val="60E54A1A"/>
    <w:rsid w:val="60F97509"/>
    <w:rsid w:val="61086C6C"/>
    <w:rsid w:val="610954ED"/>
    <w:rsid w:val="61105954"/>
    <w:rsid w:val="6110668C"/>
    <w:rsid w:val="61131850"/>
    <w:rsid w:val="612710F5"/>
    <w:rsid w:val="612B4DC4"/>
    <w:rsid w:val="61316DDB"/>
    <w:rsid w:val="614370EE"/>
    <w:rsid w:val="614E657B"/>
    <w:rsid w:val="617C0021"/>
    <w:rsid w:val="618E136D"/>
    <w:rsid w:val="61916513"/>
    <w:rsid w:val="61A35A97"/>
    <w:rsid w:val="61A871DD"/>
    <w:rsid w:val="61B756AA"/>
    <w:rsid w:val="61DA5F1D"/>
    <w:rsid w:val="61F27CBF"/>
    <w:rsid w:val="61F570B9"/>
    <w:rsid w:val="62251865"/>
    <w:rsid w:val="622B5E85"/>
    <w:rsid w:val="62395A8E"/>
    <w:rsid w:val="623A3068"/>
    <w:rsid w:val="624C08F2"/>
    <w:rsid w:val="625277CA"/>
    <w:rsid w:val="626900A3"/>
    <w:rsid w:val="62A5222E"/>
    <w:rsid w:val="62AF164E"/>
    <w:rsid w:val="62BD381A"/>
    <w:rsid w:val="62EA3A91"/>
    <w:rsid w:val="62EF277B"/>
    <w:rsid w:val="62F2723C"/>
    <w:rsid w:val="62F448F2"/>
    <w:rsid w:val="630E2CB2"/>
    <w:rsid w:val="63170EA2"/>
    <w:rsid w:val="634B2324"/>
    <w:rsid w:val="636B2124"/>
    <w:rsid w:val="637040BE"/>
    <w:rsid w:val="638A295E"/>
    <w:rsid w:val="63987668"/>
    <w:rsid w:val="63CA2732"/>
    <w:rsid w:val="63DF0868"/>
    <w:rsid w:val="63FE0957"/>
    <w:rsid w:val="64322506"/>
    <w:rsid w:val="645A393C"/>
    <w:rsid w:val="645B1C67"/>
    <w:rsid w:val="646D7406"/>
    <w:rsid w:val="647D2BD9"/>
    <w:rsid w:val="647D7F98"/>
    <w:rsid w:val="648E18E0"/>
    <w:rsid w:val="649777A9"/>
    <w:rsid w:val="64A61FC8"/>
    <w:rsid w:val="64A81D79"/>
    <w:rsid w:val="64BA1F43"/>
    <w:rsid w:val="64E114A4"/>
    <w:rsid w:val="64E75479"/>
    <w:rsid w:val="650C38EB"/>
    <w:rsid w:val="6513273E"/>
    <w:rsid w:val="651F1AB3"/>
    <w:rsid w:val="652D7665"/>
    <w:rsid w:val="652E4AF7"/>
    <w:rsid w:val="653456E1"/>
    <w:rsid w:val="65441574"/>
    <w:rsid w:val="65455DD6"/>
    <w:rsid w:val="6557285B"/>
    <w:rsid w:val="65590F62"/>
    <w:rsid w:val="65934F41"/>
    <w:rsid w:val="65B84C90"/>
    <w:rsid w:val="65B97A7B"/>
    <w:rsid w:val="65BD40B4"/>
    <w:rsid w:val="65C06F6D"/>
    <w:rsid w:val="65C55927"/>
    <w:rsid w:val="65C86B87"/>
    <w:rsid w:val="65E42576"/>
    <w:rsid w:val="65F92AFE"/>
    <w:rsid w:val="66007621"/>
    <w:rsid w:val="663D014B"/>
    <w:rsid w:val="6650740D"/>
    <w:rsid w:val="665601DE"/>
    <w:rsid w:val="665A62C8"/>
    <w:rsid w:val="668E64A3"/>
    <w:rsid w:val="66A70090"/>
    <w:rsid w:val="66AC4120"/>
    <w:rsid w:val="66CD24D5"/>
    <w:rsid w:val="66FB2003"/>
    <w:rsid w:val="670615FF"/>
    <w:rsid w:val="67191DE2"/>
    <w:rsid w:val="6720558A"/>
    <w:rsid w:val="672467BE"/>
    <w:rsid w:val="672D2D3E"/>
    <w:rsid w:val="67350CDB"/>
    <w:rsid w:val="674532FC"/>
    <w:rsid w:val="67460A38"/>
    <w:rsid w:val="675C2A65"/>
    <w:rsid w:val="677C5D98"/>
    <w:rsid w:val="67903162"/>
    <w:rsid w:val="67946933"/>
    <w:rsid w:val="67A05366"/>
    <w:rsid w:val="67A4536C"/>
    <w:rsid w:val="67AC4735"/>
    <w:rsid w:val="67B00D93"/>
    <w:rsid w:val="67BC0E36"/>
    <w:rsid w:val="67C0684A"/>
    <w:rsid w:val="67DD3E34"/>
    <w:rsid w:val="67FD3982"/>
    <w:rsid w:val="68143997"/>
    <w:rsid w:val="682C2005"/>
    <w:rsid w:val="68320C40"/>
    <w:rsid w:val="687566B8"/>
    <w:rsid w:val="688B7E15"/>
    <w:rsid w:val="68A620EE"/>
    <w:rsid w:val="68C11EA3"/>
    <w:rsid w:val="68C30447"/>
    <w:rsid w:val="68FF6510"/>
    <w:rsid w:val="691463EF"/>
    <w:rsid w:val="691B34A7"/>
    <w:rsid w:val="695615BD"/>
    <w:rsid w:val="69895B21"/>
    <w:rsid w:val="69934794"/>
    <w:rsid w:val="69D33B83"/>
    <w:rsid w:val="6A13309D"/>
    <w:rsid w:val="6A1E6DBE"/>
    <w:rsid w:val="6A26379F"/>
    <w:rsid w:val="6A2D329F"/>
    <w:rsid w:val="6A2D58DD"/>
    <w:rsid w:val="6A466123"/>
    <w:rsid w:val="6A4B04FF"/>
    <w:rsid w:val="6A5D40A2"/>
    <w:rsid w:val="6A5F1C2E"/>
    <w:rsid w:val="6A6602A2"/>
    <w:rsid w:val="6A6C2FE6"/>
    <w:rsid w:val="6A9325E1"/>
    <w:rsid w:val="6AA12EE1"/>
    <w:rsid w:val="6AA43C9C"/>
    <w:rsid w:val="6AA94572"/>
    <w:rsid w:val="6AAE4F9B"/>
    <w:rsid w:val="6AB57C02"/>
    <w:rsid w:val="6ADF0A3E"/>
    <w:rsid w:val="6AF809FB"/>
    <w:rsid w:val="6AFF0923"/>
    <w:rsid w:val="6B0C03FD"/>
    <w:rsid w:val="6B0E5A01"/>
    <w:rsid w:val="6B250B66"/>
    <w:rsid w:val="6B2C2498"/>
    <w:rsid w:val="6B4328E9"/>
    <w:rsid w:val="6B4B1D2A"/>
    <w:rsid w:val="6B592DBF"/>
    <w:rsid w:val="6B5E0661"/>
    <w:rsid w:val="6B750ABF"/>
    <w:rsid w:val="6B970252"/>
    <w:rsid w:val="6BA269E1"/>
    <w:rsid w:val="6BBA0FA4"/>
    <w:rsid w:val="6BBC4442"/>
    <w:rsid w:val="6BC42472"/>
    <w:rsid w:val="6BE03CAA"/>
    <w:rsid w:val="6BE5125A"/>
    <w:rsid w:val="6C130BEC"/>
    <w:rsid w:val="6C22405B"/>
    <w:rsid w:val="6C2E3930"/>
    <w:rsid w:val="6C544E3F"/>
    <w:rsid w:val="6C7442A8"/>
    <w:rsid w:val="6CB148F2"/>
    <w:rsid w:val="6CC35DA3"/>
    <w:rsid w:val="6CF50876"/>
    <w:rsid w:val="6CF65200"/>
    <w:rsid w:val="6CFD60D2"/>
    <w:rsid w:val="6D0346B6"/>
    <w:rsid w:val="6D173B64"/>
    <w:rsid w:val="6D1D436D"/>
    <w:rsid w:val="6D2309D8"/>
    <w:rsid w:val="6D320F7F"/>
    <w:rsid w:val="6D486066"/>
    <w:rsid w:val="6D7D5782"/>
    <w:rsid w:val="6DA97FE8"/>
    <w:rsid w:val="6DAF6492"/>
    <w:rsid w:val="6DB1452F"/>
    <w:rsid w:val="6DB8641D"/>
    <w:rsid w:val="6DC00409"/>
    <w:rsid w:val="6DC07C08"/>
    <w:rsid w:val="6DC91C15"/>
    <w:rsid w:val="6DD56419"/>
    <w:rsid w:val="6DDD79F6"/>
    <w:rsid w:val="6DFB667D"/>
    <w:rsid w:val="6DFC3465"/>
    <w:rsid w:val="6E030CB3"/>
    <w:rsid w:val="6E176935"/>
    <w:rsid w:val="6E704D2C"/>
    <w:rsid w:val="6E9E6326"/>
    <w:rsid w:val="6EA95298"/>
    <w:rsid w:val="6EB5075B"/>
    <w:rsid w:val="6EBE4A6A"/>
    <w:rsid w:val="6ECE201A"/>
    <w:rsid w:val="6EFC2663"/>
    <w:rsid w:val="6F066B83"/>
    <w:rsid w:val="6F3362C4"/>
    <w:rsid w:val="6F5A350D"/>
    <w:rsid w:val="6F704710"/>
    <w:rsid w:val="6F7619CB"/>
    <w:rsid w:val="6F913D52"/>
    <w:rsid w:val="6FA06C16"/>
    <w:rsid w:val="6FA44699"/>
    <w:rsid w:val="6FDA7B49"/>
    <w:rsid w:val="6FE70574"/>
    <w:rsid w:val="6FF818C4"/>
    <w:rsid w:val="70110D20"/>
    <w:rsid w:val="701C7E6C"/>
    <w:rsid w:val="70370428"/>
    <w:rsid w:val="704571B4"/>
    <w:rsid w:val="704F66AB"/>
    <w:rsid w:val="706D0A00"/>
    <w:rsid w:val="706E354F"/>
    <w:rsid w:val="70A2088F"/>
    <w:rsid w:val="70B31990"/>
    <w:rsid w:val="70BE22BB"/>
    <w:rsid w:val="70E0367B"/>
    <w:rsid w:val="70E21165"/>
    <w:rsid w:val="70F34077"/>
    <w:rsid w:val="70F445EC"/>
    <w:rsid w:val="710A0E7A"/>
    <w:rsid w:val="714E1EEF"/>
    <w:rsid w:val="715847BC"/>
    <w:rsid w:val="71767B87"/>
    <w:rsid w:val="718667A2"/>
    <w:rsid w:val="719B2FB0"/>
    <w:rsid w:val="71A96FFF"/>
    <w:rsid w:val="71AD40B1"/>
    <w:rsid w:val="71AF5C7D"/>
    <w:rsid w:val="71C76389"/>
    <w:rsid w:val="71E8600A"/>
    <w:rsid w:val="721F312A"/>
    <w:rsid w:val="722D256A"/>
    <w:rsid w:val="723379C4"/>
    <w:rsid w:val="72453800"/>
    <w:rsid w:val="724D4125"/>
    <w:rsid w:val="72771C08"/>
    <w:rsid w:val="728E2F1E"/>
    <w:rsid w:val="72D16AC8"/>
    <w:rsid w:val="72E040D2"/>
    <w:rsid w:val="7302175D"/>
    <w:rsid w:val="7306407B"/>
    <w:rsid w:val="7307234A"/>
    <w:rsid w:val="732D1C26"/>
    <w:rsid w:val="733A7273"/>
    <w:rsid w:val="73465833"/>
    <w:rsid w:val="73550DBD"/>
    <w:rsid w:val="73622A3C"/>
    <w:rsid w:val="736571B8"/>
    <w:rsid w:val="73765628"/>
    <w:rsid w:val="73D0342D"/>
    <w:rsid w:val="73D27EBE"/>
    <w:rsid w:val="73DB307B"/>
    <w:rsid w:val="73EF7D95"/>
    <w:rsid w:val="740C5FC7"/>
    <w:rsid w:val="74150086"/>
    <w:rsid w:val="74247195"/>
    <w:rsid w:val="742C0ECA"/>
    <w:rsid w:val="744F4A7E"/>
    <w:rsid w:val="7465182A"/>
    <w:rsid w:val="747B36E3"/>
    <w:rsid w:val="747D54DD"/>
    <w:rsid w:val="7486181E"/>
    <w:rsid w:val="748A1CB1"/>
    <w:rsid w:val="74E44096"/>
    <w:rsid w:val="74EA6E88"/>
    <w:rsid w:val="74EB16DA"/>
    <w:rsid w:val="74EE2B1D"/>
    <w:rsid w:val="7501174A"/>
    <w:rsid w:val="751542B5"/>
    <w:rsid w:val="75287F6C"/>
    <w:rsid w:val="75303D68"/>
    <w:rsid w:val="75364455"/>
    <w:rsid w:val="753D3F2B"/>
    <w:rsid w:val="75442A78"/>
    <w:rsid w:val="754A251B"/>
    <w:rsid w:val="754A7A59"/>
    <w:rsid w:val="757D0E7B"/>
    <w:rsid w:val="757E77CA"/>
    <w:rsid w:val="758374FB"/>
    <w:rsid w:val="75986E28"/>
    <w:rsid w:val="75A666DC"/>
    <w:rsid w:val="75A957CB"/>
    <w:rsid w:val="75EE44CC"/>
    <w:rsid w:val="75FA38FB"/>
    <w:rsid w:val="760A112C"/>
    <w:rsid w:val="764768E2"/>
    <w:rsid w:val="765B3907"/>
    <w:rsid w:val="76707016"/>
    <w:rsid w:val="76791CB6"/>
    <w:rsid w:val="76854A7E"/>
    <w:rsid w:val="76884178"/>
    <w:rsid w:val="768D19D5"/>
    <w:rsid w:val="768D20CC"/>
    <w:rsid w:val="76936711"/>
    <w:rsid w:val="76BD1939"/>
    <w:rsid w:val="76E53049"/>
    <w:rsid w:val="76EA41F8"/>
    <w:rsid w:val="76ED7AB8"/>
    <w:rsid w:val="770C3D7F"/>
    <w:rsid w:val="77195245"/>
    <w:rsid w:val="7723479A"/>
    <w:rsid w:val="773652BA"/>
    <w:rsid w:val="77451D65"/>
    <w:rsid w:val="77495621"/>
    <w:rsid w:val="774D7896"/>
    <w:rsid w:val="77516F44"/>
    <w:rsid w:val="77551C09"/>
    <w:rsid w:val="77753D32"/>
    <w:rsid w:val="779B1DE8"/>
    <w:rsid w:val="77B04A83"/>
    <w:rsid w:val="77B87444"/>
    <w:rsid w:val="77BF7DFC"/>
    <w:rsid w:val="780C09DD"/>
    <w:rsid w:val="78417500"/>
    <w:rsid w:val="787E044B"/>
    <w:rsid w:val="787F6DD2"/>
    <w:rsid w:val="788C47D8"/>
    <w:rsid w:val="789E125A"/>
    <w:rsid w:val="78A12A11"/>
    <w:rsid w:val="78B17B07"/>
    <w:rsid w:val="78B47152"/>
    <w:rsid w:val="78BE3171"/>
    <w:rsid w:val="78DB45D9"/>
    <w:rsid w:val="78DE1548"/>
    <w:rsid w:val="790F6597"/>
    <w:rsid w:val="79404A5D"/>
    <w:rsid w:val="795B5005"/>
    <w:rsid w:val="79601B4F"/>
    <w:rsid w:val="796E39F9"/>
    <w:rsid w:val="797B2A81"/>
    <w:rsid w:val="79894A6E"/>
    <w:rsid w:val="79995E87"/>
    <w:rsid w:val="79B46537"/>
    <w:rsid w:val="79B6544C"/>
    <w:rsid w:val="79CD4894"/>
    <w:rsid w:val="79FB5701"/>
    <w:rsid w:val="7A195037"/>
    <w:rsid w:val="7A1A39B4"/>
    <w:rsid w:val="7A390195"/>
    <w:rsid w:val="7A572D93"/>
    <w:rsid w:val="7A6F2149"/>
    <w:rsid w:val="7A79120A"/>
    <w:rsid w:val="7A7F03D1"/>
    <w:rsid w:val="7AA8724F"/>
    <w:rsid w:val="7AAC5144"/>
    <w:rsid w:val="7ABE635D"/>
    <w:rsid w:val="7AD37EB1"/>
    <w:rsid w:val="7AE20D92"/>
    <w:rsid w:val="7AF04995"/>
    <w:rsid w:val="7AFF0D7C"/>
    <w:rsid w:val="7B037B3F"/>
    <w:rsid w:val="7B0400B3"/>
    <w:rsid w:val="7B0831AE"/>
    <w:rsid w:val="7B0E2BD9"/>
    <w:rsid w:val="7B2B4EE4"/>
    <w:rsid w:val="7B3F12C0"/>
    <w:rsid w:val="7BA32842"/>
    <w:rsid w:val="7BB333E6"/>
    <w:rsid w:val="7BC40DCA"/>
    <w:rsid w:val="7BCB0F97"/>
    <w:rsid w:val="7BE270BF"/>
    <w:rsid w:val="7BE9565C"/>
    <w:rsid w:val="7BF857D4"/>
    <w:rsid w:val="7C0E201B"/>
    <w:rsid w:val="7C352A69"/>
    <w:rsid w:val="7C5A4DE7"/>
    <w:rsid w:val="7C6056C3"/>
    <w:rsid w:val="7C6636B0"/>
    <w:rsid w:val="7C8E1BC3"/>
    <w:rsid w:val="7C8F4DF7"/>
    <w:rsid w:val="7CC10021"/>
    <w:rsid w:val="7CD2349D"/>
    <w:rsid w:val="7CE91F05"/>
    <w:rsid w:val="7CEC1517"/>
    <w:rsid w:val="7D046F37"/>
    <w:rsid w:val="7D0F2F2A"/>
    <w:rsid w:val="7D1537C4"/>
    <w:rsid w:val="7D325F0B"/>
    <w:rsid w:val="7D3751BD"/>
    <w:rsid w:val="7D427AD4"/>
    <w:rsid w:val="7D5804A9"/>
    <w:rsid w:val="7D931507"/>
    <w:rsid w:val="7D9F41BB"/>
    <w:rsid w:val="7D9F6117"/>
    <w:rsid w:val="7DA235FE"/>
    <w:rsid w:val="7DA46073"/>
    <w:rsid w:val="7DB16041"/>
    <w:rsid w:val="7DBA26DE"/>
    <w:rsid w:val="7DBF3545"/>
    <w:rsid w:val="7DF24C68"/>
    <w:rsid w:val="7DF524C5"/>
    <w:rsid w:val="7E087E22"/>
    <w:rsid w:val="7E7E4C91"/>
    <w:rsid w:val="7E862516"/>
    <w:rsid w:val="7E8E5540"/>
    <w:rsid w:val="7E8F4979"/>
    <w:rsid w:val="7E960CA9"/>
    <w:rsid w:val="7E9C3765"/>
    <w:rsid w:val="7EB81754"/>
    <w:rsid w:val="7ED50142"/>
    <w:rsid w:val="7EDC4E14"/>
    <w:rsid w:val="7EF565F2"/>
    <w:rsid w:val="7F00789B"/>
    <w:rsid w:val="7F0B5D0F"/>
    <w:rsid w:val="7F130336"/>
    <w:rsid w:val="7F344DBF"/>
    <w:rsid w:val="7F3E1DAF"/>
    <w:rsid w:val="7F4C6D7A"/>
    <w:rsid w:val="7F5C10AF"/>
    <w:rsid w:val="7F5D5AB0"/>
    <w:rsid w:val="7F5E0D4D"/>
    <w:rsid w:val="7F614DE1"/>
    <w:rsid w:val="7F6A522E"/>
    <w:rsid w:val="7F786C5C"/>
    <w:rsid w:val="7F894FA8"/>
    <w:rsid w:val="7F9E669B"/>
    <w:rsid w:val="7FB21B9A"/>
    <w:rsid w:val="7FCF329D"/>
    <w:rsid w:val="7FD046A5"/>
    <w:rsid w:val="7FDA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spacing w:line="340" w:lineRule="exact"/>
      <w:ind w:right="-139" w:hanging="26" w:hangingChars="26"/>
    </w:pPr>
    <w:rPr>
      <w:rFonts w:ascii="华文中宋" w:hAnsi="华文中宋" w:eastAsia="华文中宋" w:cs="华文中宋"/>
      <w:sz w:val="24"/>
    </w:rPr>
  </w:style>
  <w:style w:type="paragraph" w:customStyle="1" w:styleId="3">
    <w:name w:val="Body Text Indent1"/>
    <w:basedOn w:val="1"/>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rPr>
  </w:style>
  <w:style w:type="paragraph" w:styleId="6">
    <w:name w:val="footnote text"/>
    <w:basedOn w:val="1"/>
    <w:unhideWhenUsed/>
    <w:qFormat/>
    <w:uiPriority w:val="99"/>
    <w:pPr>
      <w:snapToGrid w:val="0"/>
      <w:spacing w:beforeLines="0" w:afterLines="0"/>
      <w:jc w:val="left"/>
    </w:pPr>
    <w:rPr>
      <w:rFonts w:hint="eastAsia"/>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footnote reference"/>
    <w:basedOn w:val="9"/>
    <w:unhideWhenUsed/>
    <w:qFormat/>
    <w:uiPriority w:val="99"/>
    <w:rPr>
      <w:rFonts w:hint="default"/>
      <w:sz w:val="24"/>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2024-03-29T10:11:00Z</dcterms:created>
  <dc:creator>经常处陈雄</dc:creator>
  <cp:lastModifiedBy>林彬_福州_国际收支处</cp:lastModifiedBy>
  <cp:lastPrinted>2024-04-03T07:41:00Z</cp:lastPrinted>
  <dcterms:modified xsi:type="dcterms:W3CDTF">2024-04-03T08:39:55Z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F925A84CCA7040C1A915A4FB187B7490</vt:lpwstr>
  </property>
</Properties>
</file>