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B6" w:rsidRPr="00633FB4" w:rsidRDefault="00953203">
      <w:pPr>
        <w:rPr>
          <w:rFonts w:ascii="黑体" w:eastAsia="黑体" w:hAnsi="黑体"/>
          <w:sz w:val="30"/>
          <w:szCs w:val="30"/>
        </w:rPr>
      </w:pPr>
      <w:r w:rsidRPr="00633FB4">
        <w:rPr>
          <w:rFonts w:ascii="黑体" w:eastAsia="黑体" w:hAnsi="黑体"/>
          <w:sz w:val="30"/>
          <w:szCs w:val="30"/>
        </w:rPr>
        <w:t>附</w:t>
      </w:r>
      <w:r w:rsidR="00633FB4" w:rsidRPr="00633FB4">
        <w:rPr>
          <w:rFonts w:ascii="黑体" w:eastAsia="黑体" w:hAnsi="黑体"/>
          <w:sz w:val="30"/>
          <w:szCs w:val="30"/>
        </w:rPr>
        <w:t>2</w:t>
      </w:r>
    </w:p>
    <w:p w:rsidR="00F656D8" w:rsidRDefault="00953203" w:rsidP="00F656D8">
      <w:pPr>
        <w:spacing w:line="520" w:lineRule="exact"/>
        <w:contextualSpacing/>
        <w:jc w:val="center"/>
        <w:rPr>
          <w:rFonts w:ascii="黑体" w:eastAsia="黑体" w:hAnsi="黑体"/>
          <w:b/>
          <w:bCs/>
          <w:sz w:val="36"/>
          <w:szCs w:val="36"/>
        </w:rPr>
      </w:pPr>
      <w:r>
        <w:rPr>
          <w:rFonts w:ascii="黑体" w:eastAsia="黑体" w:hAnsi="黑体" w:hint="eastAsia"/>
          <w:b/>
          <w:bCs/>
          <w:sz w:val="36"/>
          <w:szCs w:val="36"/>
        </w:rPr>
        <w:t>银行办理非金融企业外债签约（变更）登记业务</w:t>
      </w:r>
    </w:p>
    <w:p w:rsidR="00AD63B6" w:rsidRDefault="00953203" w:rsidP="00F656D8">
      <w:pPr>
        <w:spacing w:line="520" w:lineRule="exact"/>
        <w:contextualSpacing/>
        <w:jc w:val="center"/>
        <w:rPr>
          <w:rFonts w:ascii="黑体" w:eastAsia="黑体" w:hAnsi="黑体"/>
          <w:b/>
          <w:bCs/>
          <w:sz w:val="36"/>
          <w:szCs w:val="36"/>
        </w:rPr>
      </w:pPr>
      <w:bookmarkStart w:id="0" w:name="_GoBack"/>
      <w:bookmarkEnd w:id="0"/>
      <w:r>
        <w:rPr>
          <w:rFonts w:ascii="黑体" w:eastAsia="黑体" w:hAnsi="黑体"/>
          <w:b/>
          <w:bCs/>
          <w:sz w:val="36"/>
          <w:szCs w:val="36"/>
        </w:rPr>
        <w:t>实施细则</w:t>
      </w:r>
      <w:r w:rsidR="00633FB4">
        <w:rPr>
          <w:rFonts w:ascii="黑体" w:eastAsia="黑体" w:hAnsi="黑体" w:hint="eastAsia"/>
          <w:b/>
          <w:bCs/>
          <w:sz w:val="36"/>
          <w:szCs w:val="36"/>
        </w:rPr>
        <w:t>（征求</w:t>
      </w:r>
      <w:r w:rsidR="00633FB4">
        <w:rPr>
          <w:rFonts w:ascii="黑体" w:eastAsia="黑体" w:hAnsi="黑体"/>
          <w:b/>
          <w:bCs/>
          <w:sz w:val="36"/>
          <w:szCs w:val="36"/>
        </w:rPr>
        <w:t>意见稿</w:t>
      </w:r>
      <w:r w:rsidR="00633FB4">
        <w:rPr>
          <w:rFonts w:ascii="黑体" w:eastAsia="黑体" w:hAnsi="黑体" w:hint="eastAsia"/>
          <w:b/>
          <w:bCs/>
          <w:sz w:val="36"/>
          <w:szCs w:val="36"/>
        </w:rPr>
        <w:t>）</w:t>
      </w:r>
    </w:p>
    <w:p w:rsidR="00AD63B6" w:rsidRDefault="00AD63B6">
      <w:pPr>
        <w:pStyle w:val="BodyTextFirstIndent21"/>
        <w:ind w:left="503" w:hanging="83"/>
        <w:rPr>
          <w:rFonts w:eastAsia="仿宋_GB2312" w:cs="Times New Roman"/>
          <w:sz w:val="32"/>
          <w:szCs w:val="32"/>
        </w:rPr>
      </w:pPr>
    </w:p>
    <w:p w:rsidR="00AD63B6" w:rsidRDefault="00953203">
      <w:pPr>
        <w:widowControl/>
        <w:ind w:firstLineChars="200" w:firstLine="640"/>
        <w:contextualSpacing/>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第一条 </w:t>
      </w:r>
      <w:r>
        <w:rPr>
          <w:rFonts w:ascii="仿宋_GB2312" w:eastAsia="仿宋_GB2312" w:hAnsi="仿宋_GB2312" w:cs="仿宋_GB2312" w:hint="eastAsia"/>
          <w:bCs/>
          <w:sz w:val="32"/>
          <w:szCs w:val="32"/>
        </w:rPr>
        <w:t>为</w:t>
      </w:r>
      <w:r>
        <w:rPr>
          <w:rFonts w:ascii="仿宋_GB2312" w:eastAsia="仿宋_GB2312" w:hAnsi="仿宋_GB2312" w:cs="仿宋_GB2312"/>
          <w:bCs/>
          <w:sz w:val="32"/>
          <w:szCs w:val="32"/>
        </w:rPr>
        <w:t>便利</w:t>
      </w:r>
      <w:r>
        <w:rPr>
          <w:rFonts w:ascii="仿宋_GB2312" w:eastAsia="仿宋_GB2312" w:hAnsi="仿宋_GB2312" w:cs="仿宋_GB2312" w:hint="eastAsia"/>
          <w:bCs/>
          <w:sz w:val="32"/>
          <w:szCs w:val="32"/>
        </w:rPr>
        <w:t>银行办理非金融企业外债签约（变更）登记，根据服务实体经济、有效防范风险的原则，制订本实施细则。</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bCs/>
          <w:sz w:val="32"/>
          <w:szCs w:val="32"/>
        </w:rPr>
        <w:t>第二条 本实施细则所指非金融企业是指</w:t>
      </w:r>
      <w:r>
        <w:rPr>
          <w:rFonts w:ascii="仿宋_GB2312" w:eastAsia="仿宋_GB2312" w:hAnsi="仿宋_GB2312" w:cs="仿宋_GB2312" w:hint="eastAsia"/>
          <w:kern w:val="0"/>
          <w:sz w:val="32"/>
          <w:szCs w:val="32"/>
        </w:rPr>
        <w:t>选择全口径跨境融资宏观审慎模式借用外债的非金融企业债务人（房地产企业、地方政府融资平台、融资租赁公司、融资担保公司、商业保理公司、地方资产管理公司、小额贷款公司、典当行除外）</w:t>
      </w:r>
      <w:r>
        <w:rPr>
          <w:rFonts w:ascii="仿宋_GB2312" w:eastAsia="仿宋_GB2312" w:hAnsi="仿宋_GB2312" w:cs="仿宋_GB2312"/>
          <w:kern w:val="0"/>
          <w:sz w:val="32"/>
          <w:szCs w:val="32"/>
        </w:rPr>
        <w:t>，不含</w:t>
      </w:r>
      <w:r>
        <w:rPr>
          <w:rFonts w:ascii="仿宋_GB2312" w:eastAsia="仿宋_GB2312" w:hAnsi="仿宋_GB2312" w:cs="仿宋_GB2312" w:hint="eastAsia"/>
          <w:kern w:val="0"/>
          <w:sz w:val="32"/>
          <w:szCs w:val="32"/>
        </w:rPr>
        <w:t>选择其他方式借用外债的非金融企业债务人</w:t>
      </w:r>
      <w:r>
        <w:rPr>
          <w:rFonts w:ascii="仿宋_GB2312" w:eastAsia="仿宋_GB2312" w:hAnsi="仿宋_GB2312" w:cs="仿宋_GB2312"/>
          <w:kern w:val="0"/>
          <w:sz w:val="32"/>
          <w:szCs w:val="32"/>
        </w:rPr>
        <w:t>。</w:t>
      </w:r>
    </w:p>
    <w:p w:rsidR="00AD63B6" w:rsidRDefault="00953203">
      <w:pPr>
        <w:pStyle w:val="BodyTextFirstIndent21"/>
        <w:spacing w:after="0" w:line="240" w:lineRule="auto"/>
        <w:ind w:leftChars="0" w:left="0" w:right="-142" w:firstLineChars="200" w:firstLine="640"/>
        <w:rPr>
          <w:rFonts w:ascii="仿宋_GB2312" w:eastAsia="仿宋_GB2312" w:hAnsi="仿宋_GB2312" w:cs="仿宋_GB2312"/>
          <w:kern w:val="0"/>
          <w:sz w:val="32"/>
          <w:szCs w:val="32"/>
        </w:rPr>
      </w:pPr>
      <w:r>
        <w:rPr>
          <w:rFonts w:ascii="仿宋_GB2312" w:eastAsia="仿宋_GB2312" w:hAnsi="仿宋_GB2312" w:cs="仿宋_GB2312"/>
          <w:bCs/>
          <w:sz w:val="32"/>
          <w:szCs w:val="32"/>
        </w:rPr>
        <w:t xml:space="preserve">第三条 </w:t>
      </w:r>
      <w:r>
        <w:rPr>
          <w:rFonts w:ascii="仿宋_GB2312" w:eastAsia="仿宋_GB2312" w:hAnsi="仿宋_GB2312" w:cs="仿宋_GB2312" w:hint="eastAsia"/>
          <w:kern w:val="0"/>
          <w:sz w:val="32"/>
          <w:szCs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rsidR="00AD63B6" w:rsidRDefault="00953203">
      <w:pPr>
        <w:pStyle w:val="BodyTextFirstIndent21"/>
        <w:spacing w:after="0" w:line="240" w:lineRule="auto"/>
        <w:ind w:leftChars="0" w:left="0" w:right="-142" w:firstLineChars="200" w:firstLine="640"/>
        <w:rPr>
          <w:sz w:val="32"/>
          <w:szCs w:val="32"/>
        </w:rPr>
      </w:pPr>
      <w:r>
        <w:rPr>
          <w:rFonts w:ascii="仿宋_GB2312" w:eastAsia="仿宋_GB2312" w:hAnsi="仿宋_GB2312" w:cs="仿宋_GB2312"/>
          <w:kern w:val="0"/>
          <w:sz w:val="32"/>
          <w:szCs w:val="32"/>
        </w:rPr>
        <w:t xml:space="preserve">第四条 </w:t>
      </w:r>
      <w:r>
        <w:rPr>
          <w:rFonts w:ascii="仿宋_GB2312" w:eastAsia="仿宋_GB2312" w:hAnsi="仿宋_GB2312" w:cs="仿宋_GB2312"/>
          <w:bCs/>
          <w:sz w:val="32"/>
          <w:szCs w:val="32"/>
        </w:rPr>
        <w:t>非金融企业债务人可</w:t>
      </w:r>
      <w:r>
        <w:rPr>
          <w:rFonts w:ascii="仿宋_GB2312" w:eastAsia="仿宋_GB2312" w:hAnsi="仿宋_GB2312" w:cs="仿宋_GB2312" w:hint="eastAsia"/>
          <w:kern w:val="0"/>
          <w:sz w:val="32"/>
          <w:szCs w:val="32"/>
        </w:rPr>
        <w:t>在外债提款前（境内机构在境外发行债券的应在境外债券交割后15 个工作日内）</w:t>
      </w:r>
      <w:r>
        <w:rPr>
          <w:rFonts w:ascii="仿宋_GB2312" w:eastAsia="仿宋_GB2312" w:hAnsi="仿宋_GB2312" w:cs="仿宋_GB2312"/>
          <w:kern w:val="0"/>
          <w:sz w:val="32"/>
          <w:szCs w:val="32"/>
        </w:rPr>
        <w:t>持以下材料</w:t>
      </w:r>
      <w:r>
        <w:rPr>
          <w:rFonts w:ascii="仿宋_GB2312" w:eastAsia="仿宋_GB2312" w:hAnsi="仿宋_GB2312" w:cs="仿宋_GB2312" w:hint="eastAsia"/>
          <w:kern w:val="0"/>
          <w:sz w:val="32"/>
          <w:szCs w:val="32"/>
        </w:rPr>
        <w:t>到所属</w:t>
      </w:r>
      <w:r>
        <w:rPr>
          <w:rFonts w:ascii="Times New Roman" w:eastAsia="仿宋_GB2312" w:hAnsi="Times New Roman" w:cs="Times New Roman"/>
          <w:bCs/>
          <w:sz w:val="32"/>
          <w:szCs w:val="32"/>
        </w:rPr>
        <w:t>省级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计划单列市分局</w:t>
      </w:r>
      <w:r>
        <w:rPr>
          <w:rFonts w:ascii="仿宋_GB2312" w:eastAsia="仿宋_GB2312" w:hAnsi="仿宋_GB2312" w:cs="仿宋_GB2312" w:hint="eastAsia"/>
          <w:kern w:val="0"/>
          <w:sz w:val="32"/>
          <w:szCs w:val="32"/>
        </w:rPr>
        <w:t>辖内银行办理外债签约登记手续</w:t>
      </w:r>
      <w:r>
        <w:rPr>
          <w:rFonts w:ascii="仿宋_GB2312" w:eastAsia="仿宋_GB2312" w:hAnsi="仿宋_GB2312" w:cs="仿宋_GB2312"/>
          <w:kern w:val="0"/>
          <w:sz w:val="32"/>
          <w:szCs w:val="32"/>
        </w:rPr>
        <w:t>：</w:t>
      </w:r>
    </w:p>
    <w:p w:rsidR="00AD63B6" w:rsidRDefault="00953203">
      <w:pPr>
        <w:widowControl/>
        <w:tabs>
          <w:tab w:val="left" w:pos="411"/>
        </w:tabs>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1.《非金融企业外债登记申请表（宏观审慎模式）》（必要时附书面说明）。</w:t>
      </w:r>
    </w:p>
    <w:p w:rsidR="00AD63B6" w:rsidRDefault="00953203">
      <w:pPr>
        <w:widowControl/>
        <w:ind w:firstLineChars="200" w:firstLine="640"/>
        <w:contextualSpacing/>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2.外债合同或主要条款复印件（境外发行债券的，需提</w:t>
      </w:r>
      <w:r>
        <w:rPr>
          <w:rFonts w:ascii="仿宋_GB2312" w:eastAsia="仿宋_GB2312" w:hAnsi="仿宋_GB2312" w:cs="仿宋_GB2312" w:hint="eastAsia"/>
          <w:bCs/>
          <w:sz w:val="32"/>
          <w:szCs w:val="32"/>
        </w:rPr>
        <w:t>供认购协议或全球债券证书等证明材料）。</w:t>
      </w:r>
    </w:p>
    <w:p w:rsidR="00AD63B6" w:rsidRDefault="00953203">
      <w:pPr>
        <w:pStyle w:val="BodyTextFirstIndent21"/>
        <w:spacing w:line="240" w:lineRule="auto"/>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3.其他相关批准文件（发展改革部门审核登记文件，如有）。</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 xml:space="preserve">4.上年度或最近一期经审计的财务报告。 </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5.营业执照。</w:t>
      </w:r>
    </w:p>
    <w:p w:rsidR="00AD63B6" w:rsidRDefault="00953203">
      <w:pPr>
        <w:pStyle w:val="BodyTextFirstIndent21"/>
        <w:spacing w:after="0" w:line="240" w:lineRule="auto"/>
        <w:ind w:leftChars="0" w:left="0" w:right="-142" w:firstLineChars="200" w:firstLine="640"/>
        <w:rPr>
          <w:sz w:val="32"/>
          <w:szCs w:val="32"/>
        </w:rPr>
      </w:pPr>
      <w:r>
        <w:rPr>
          <w:rFonts w:ascii="仿宋_GB2312" w:eastAsia="仿宋_GB2312" w:hAnsi="仿宋_GB2312" w:cs="仿宋_GB2312" w:hint="eastAsia"/>
          <w:kern w:val="0"/>
          <w:sz w:val="32"/>
          <w:szCs w:val="32"/>
        </w:rPr>
        <w:t>第五条 因当事各方、币种、金额、期限、利率、借款用途和适用法律等外债合同主要条款发生变化，</w:t>
      </w:r>
      <w:r>
        <w:rPr>
          <w:rFonts w:ascii="仿宋_GB2312" w:eastAsia="仿宋_GB2312" w:hAnsi="仿宋_GB2312" w:cs="仿宋_GB2312"/>
          <w:bCs/>
          <w:sz w:val="32"/>
          <w:szCs w:val="32"/>
        </w:rPr>
        <w:t>非金融企业债务人可</w:t>
      </w:r>
      <w:r>
        <w:rPr>
          <w:rFonts w:ascii="仿宋_GB2312" w:eastAsia="仿宋_GB2312" w:hAnsi="仿宋_GB2312" w:cs="仿宋_GB2312"/>
          <w:kern w:val="0"/>
          <w:sz w:val="32"/>
          <w:szCs w:val="32"/>
        </w:rPr>
        <w:t>持以下材料</w:t>
      </w:r>
      <w:r>
        <w:rPr>
          <w:rFonts w:ascii="仿宋_GB2312" w:eastAsia="仿宋_GB2312" w:hAnsi="仿宋_GB2312" w:cs="仿宋_GB2312" w:hint="eastAsia"/>
          <w:kern w:val="0"/>
          <w:sz w:val="32"/>
          <w:szCs w:val="32"/>
        </w:rPr>
        <w:t>到所属</w:t>
      </w:r>
      <w:r>
        <w:rPr>
          <w:rFonts w:ascii="Times New Roman" w:eastAsia="仿宋_GB2312" w:hAnsi="Times New Roman" w:cs="Times New Roman"/>
          <w:bCs/>
          <w:sz w:val="32"/>
          <w:szCs w:val="32"/>
        </w:rPr>
        <w:t>省级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计划单列市分局</w:t>
      </w:r>
      <w:r>
        <w:rPr>
          <w:rFonts w:ascii="仿宋_GB2312" w:eastAsia="仿宋_GB2312" w:hAnsi="仿宋_GB2312" w:cs="仿宋_GB2312" w:hint="eastAsia"/>
          <w:kern w:val="0"/>
          <w:sz w:val="32"/>
          <w:szCs w:val="32"/>
        </w:rPr>
        <w:t>辖内银行办理外债变更登记手续</w:t>
      </w:r>
      <w:r>
        <w:rPr>
          <w:rFonts w:ascii="仿宋_GB2312" w:eastAsia="仿宋_GB2312" w:hAnsi="仿宋_GB2312" w:cs="仿宋_GB2312"/>
          <w:kern w:val="0"/>
          <w:sz w:val="32"/>
          <w:szCs w:val="32"/>
        </w:rPr>
        <w:t>：</w:t>
      </w:r>
    </w:p>
    <w:p w:rsidR="00AD63B6" w:rsidRDefault="00953203">
      <w:pPr>
        <w:widowControl/>
        <w:ind w:firstLineChars="200" w:firstLine="640"/>
        <w:contextualSpacing/>
        <w:rPr>
          <w:rFonts w:eastAsia="华文中宋"/>
        </w:rPr>
      </w:pPr>
      <w:r>
        <w:rPr>
          <w:rFonts w:ascii="仿宋_GB2312" w:eastAsia="仿宋_GB2312" w:hAnsi="仿宋_GB2312" w:cs="仿宋_GB2312" w:hint="eastAsia"/>
          <w:kern w:val="0"/>
          <w:sz w:val="32"/>
          <w:szCs w:val="32"/>
        </w:rPr>
        <w:t>1.《非金融企业外债登记申请表（宏观审慎模式）》（必要时附书面说明）。</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2.原《境内机构外债签约情况表》，并出示相关业务登记凭证。</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3.变更事项的真实性证明材料。</w:t>
      </w:r>
    </w:p>
    <w:p w:rsidR="00AD63B6" w:rsidRDefault="00953203">
      <w:pPr>
        <w:pStyle w:val="BodyTextFirstIndent21"/>
        <w:spacing w:line="240" w:lineRule="auto"/>
        <w:ind w:leftChars="0" w:left="0" w:firstLineChars="0" w:firstLine="0"/>
      </w:pPr>
      <w:r>
        <w:rPr>
          <w:rFonts w:ascii="仿宋_GB2312" w:eastAsia="仿宋_GB2312" w:hAnsi="仿宋_GB2312" w:cs="仿宋_GB2312" w:hint="eastAsia"/>
          <w:kern w:val="0"/>
          <w:sz w:val="32"/>
          <w:szCs w:val="32"/>
        </w:rPr>
        <w:t xml:space="preserve">    第四条、第五条涉及的业务申请书（表）等应留存原件， 其他材料可留存加盖公章的复印件。 </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六</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银行办理外债登记前，需核实非金融企业债务人实际情况、申请信息与系统信息是否一致，不一致的需核实原因，待相关信息一致后再办理新的登记业务。</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银行为非金融企业债务人办理变更登记涉及提前还款的，须重新区分期限风险转换因子计算风险加权余额。</w:t>
      </w:r>
    </w:p>
    <w:p w:rsidR="00AD63B6" w:rsidRDefault="00953203">
      <w:pPr>
        <w:widowControl/>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银行应履行展业原则，通过适当方式认真审核非金融企业债务人主体资格，不得为房地产企业、地方政府融资平台等办理外债登记。如有疑问，应及时跟所在地外汇局沟通，并将异常情况报告所在地外汇局。</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七</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银行应通过资本项目信息系统办理外债签约登记，打印《境内机构外债签约情况表》和《业务登记凭证》并加盖银行业务印章后交给申请人。</w:t>
      </w:r>
    </w:p>
    <w:p w:rsidR="00AD63B6" w:rsidRDefault="00953203">
      <w:pPr>
        <w:widowControl/>
        <w:ind w:firstLineChars="200" w:firstLine="640"/>
        <w:contextualSpacing/>
      </w:pP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八</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对于境内非金融企业债务人向境内银行离岸部门借用的离岸贷款，视同外债管理。</w:t>
      </w:r>
      <w:r>
        <w:rPr>
          <w:rFonts w:ascii="仿宋_GB2312" w:eastAsia="仿宋_GB2312" w:hAnsi="仿宋_GB2312" w:cs="仿宋_GB2312"/>
          <w:kern w:val="0"/>
          <w:sz w:val="32"/>
          <w:szCs w:val="32"/>
        </w:rPr>
        <w:t>债务人在所在地银行办理外债签约登记后，仍需在外债余额发生变动起15个工作日内到所在地外汇局办理非资金划转类提款/还本付息备案。</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九</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以下情形不纳入外债规模管理，无需按照本实施细则办理外债登记：</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（1）除另有规定外，境内非金融企业涉及真实跨境贸易产生的贸易信贷（包括应付和预收）和从境外金融机构获取的贸易融资，以及除外债之外其他金融资产交易产生的对外应付款及相关息费等。</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（2）对于境内上市公司外方股东认购其境内公开发行的可转债。</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（3）自贸债。</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第</w:t>
      </w:r>
      <w:r>
        <w:rPr>
          <w:rFonts w:ascii="仿宋_GB2312" w:eastAsia="仿宋_GB2312" w:hAnsi="仿宋_GB2312" w:cs="仿宋_GB2312" w:hint="eastAsia"/>
          <w:kern w:val="0"/>
          <w:sz w:val="32"/>
          <w:szCs w:val="32"/>
        </w:rPr>
        <w:t>十</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非金融企业债务人借用外债，原则上应将所涉资金调回境内使用。</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sz w:val="32"/>
          <w:szCs w:val="32"/>
        </w:rPr>
        <w:t>第十</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 xml:space="preserve">条 </w:t>
      </w:r>
      <w:r>
        <w:rPr>
          <w:rFonts w:ascii="仿宋_GB2312" w:eastAsia="仿宋_GB2312" w:hAnsi="仿宋_GB2312" w:cs="仿宋_GB2312" w:hint="eastAsia"/>
          <w:kern w:val="0"/>
          <w:sz w:val="32"/>
          <w:szCs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（1）非金融企业债务人获得的保值交易外汇收入，可直接到银行办理结汇或存入外债专用账户保留（国际收支申报时，无需填写相应外债业务编号）。</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（2）非金融企业债务人可直接到银行购汇或使用自有外汇办理交割。</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第十</w:t>
      </w:r>
      <w:r>
        <w:rPr>
          <w:rFonts w:ascii="仿宋_GB2312" w:eastAsia="仿宋_GB2312" w:hAnsi="仿宋_GB2312" w:cs="仿宋_GB2312" w:hint="eastAsia"/>
          <w:kern w:val="0"/>
          <w:sz w:val="32"/>
          <w:szCs w:val="32"/>
        </w:rPr>
        <w:t>二</w:t>
      </w:r>
      <w:r>
        <w:rPr>
          <w:rFonts w:ascii="仿宋_GB2312" w:eastAsia="仿宋_GB2312" w:hAnsi="仿宋_GB2312" w:cs="仿宋_GB2312"/>
          <w:kern w:val="0"/>
          <w:sz w:val="32"/>
          <w:szCs w:val="32"/>
        </w:rPr>
        <w:t xml:space="preserve">条 </w:t>
      </w:r>
      <w:r>
        <w:rPr>
          <w:rFonts w:ascii="仿宋_GB2312" w:eastAsia="仿宋_GB2312" w:hAnsi="仿宋_GB2312" w:cs="仿宋_GB2312" w:hint="eastAsia"/>
          <w:kern w:val="0"/>
          <w:sz w:val="32"/>
          <w:szCs w:val="32"/>
        </w:rPr>
        <w:t>非金融企业债务人购汇偿还外债，应遵循实需原则。</w:t>
      </w:r>
    </w:p>
    <w:p w:rsidR="00AD63B6" w:rsidRDefault="00953203">
      <w:pPr>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第十</w:t>
      </w:r>
      <w:r>
        <w:rPr>
          <w:rFonts w:ascii="仿宋_GB2312" w:eastAsia="仿宋_GB2312" w:hAnsi="仿宋_GB2312" w:cs="仿宋_GB2312" w:hint="eastAsia"/>
          <w:kern w:val="0"/>
          <w:sz w:val="32"/>
          <w:szCs w:val="32"/>
        </w:rPr>
        <w:t>三</w:t>
      </w:r>
      <w:r>
        <w:rPr>
          <w:rFonts w:ascii="仿宋_GB2312" w:eastAsia="仿宋_GB2312" w:hAnsi="仿宋_GB2312" w:cs="仿宋_GB2312"/>
          <w:kern w:val="0"/>
          <w:sz w:val="32"/>
          <w:szCs w:val="32"/>
        </w:rPr>
        <w:t>条 银行所在</w:t>
      </w:r>
      <w:r>
        <w:rPr>
          <w:rFonts w:ascii="仿宋_GB2312" w:eastAsia="仿宋_GB2312" w:hAnsi="仿宋_GB2312" w:cs="仿宋_GB2312" w:hint="eastAsia"/>
          <w:kern w:val="0"/>
          <w:sz w:val="32"/>
          <w:szCs w:val="32"/>
        </w:rPr>
        <w:t>地</w:t>
      </w:r>
      <w:r>
        <w:rPr>
          <w:rFonts w:ascii="仿宋_GB2312" w:eastAsia="仿宋_GB2312" w:hAnsi="仿宋_GB2312" w:cs="仿宋_GB2312"/>
          <w:kern w:val="0"/>
          <w:sz w:val="32"/>
          <w:szCs w:val="32"/>
        </w:rPr>
        <w:t>外汇局负责对辖内银行办理的外债签约（变更）登记进行统计监测和业务核查。发生</w:t>
      </w:r>
      <w:r>
        <w:rPr>
          <w:rFonts w:eastAsia="仿宋_GB2312" w:hint="eastAsia"/>
          <w:bCs/>
          <w:sz w:val="32"/>
          <w:szCs w:val="32"/>
        </w:rPr>
        <w:t>重大事项和异常情况的，银行应及时向外汇局报告。</w:t>
      </w:r>
    </w:p>
    <w:p w:rsidR="00AD63B6" w:rsidRDefault="00953203">
      <w:pPr>
        <w:ind w:firstLineChars="200" w:firstLine="640"/>
        <w:contextualSpacing/>
        <w:rPr>
          <w:rFonts w:ascii="Arial" w:eastAsia="仿宋_GB2312" w:hAnsi="Arial" w:cs="Arial"/>
          <w:kern w:val="0"/>
          <w:sz w:val="32"/>
          <w:szCs w:val="32"/>
        </w:rPr>
        <w:sectPr w:rsidR="00AD63B6">
          <w:footerReference w:type="default" r:id="rId7"/>
          <w:pgSz w:w="11906" w:h="16838"/>
          <w:pgMar w:top="1440" w:right="1800" w:bottom="1440" w:left="1800" w:header="851" w:footer="992" w:gutter="0"/>
          <w:cols w:space="720"/>
          <w:docGrid w:type="lines" w:linePitch="312"/>
        </w:sectPr>
      </w:pPr>
      <w:r>
        <w:rPr>
          <w:rFonts w:ascii="Arial" w:eastAsia="仿宋_GB2312" w:hAnsi="Arial" w:cs="Arial" w:hint="eastAsia"/>
          <w:kern w:val="0"/>
          <w:sz w:val="32"/>
          <w:szCs w:val="32"/>
        </w:rPr>
        <w:t>第十四条</w:t>
      </w:r>
      <w:r>
        <w:rPr>
          <w:rFonts w:ascii="Arial" w:eastAsia="仿宋_GB2312" w:hAnsi="Arial" w:cs="Arial" w:hint="eastAsia"/>
          <w:kern w:val="0"/>
          <w:sz w:val="32"/>
          <w:szCs w:val="32"/>
        </w:rPr>
        <w:t xml:space="preserve"> </w:t>
      </w:r>
      <w:r>
        <w:rPr>
          <w:rFonts w:ascii="Arial" w:eastAsia="仿宋_GB2312" w:hAnsi="Arial" w:cs="Arial" w:hint="eastAsia"/>
          <w:kern w:val="0"/>
          <w:sz w:val="32"/>
          <w:szCs w:val="32"/>
        </w:rPr>
        <w:t>本细则自发布之日起实施，一次性外债登记试点业务同时终止。已办理一次性外债登记的企业，其已登记业务不受影响。</w:t>
      </w:r>
    </w:p>
    <w:p w:rsidR="00AD63B6" w:rsidRDefault="00953203">
      <w:pPr>
        <w:widowControl/>
        <w:jc w:val="left"/>
        <w:rPr>
          <w:rFonts w:ascii="宋体" w:hAnsi="宋体"/>
          <w:b/>
          <w:sz w:val="28"/>
          <w:szCs w:val="28"/>
        </w:rPr>
      </w:pPr>
      <w:r>
        <w:rPr>
          <w:kern w:val="0"/>
          <w:sz w:val="28"/>
          <w:szCs w:val="28"/>
        </w:rPr>
        <w:lastRenderedPageBreak/>
        <w:t>附表</w:t>
      </w:r>
    </w:p>
    <w:p w:rsidR="00AD63B6" w:rsidRDefault="00953203">
      <w:pPr>
        <w:widowControl/>
        <w:jc w:val="center"/>
        <w:rPr>
          <w:rFonts w:ascii="宋体" w:hAnsi="宋体" w:cs="Arial"/>
          <w:b/>
          <w:kern w:val="0"/>
          <w:sz w:val="32"/>
          <w:szCs w:val="32"/>
        </w:rPr>
      </w:pPr>
      <w:r>
        <w:rPr>
          <w:rFonts w:ascii="宋体" w:hAnsi="宋体" w:hint="eastAsia"/>
          <w:b/>
          <w:sz w:val="28"/>
          <w:szCs w:val="28"/>
        </w:rPr>
        <w:t>非金融企业外债登记申请表（宏观审慎模式）</w:t>
      </w:r>
    </w:p>
    <w:p w:rsidR="00AD63B6" w:rsidRDefault="00AD63B6">
      <w:pPr>
        <w:ind w:firstLineChars="2950" w:firstLine="6195"/>
        <w:rPr>
          <w:rFonts w:ascii="宋体" w:hAnsi="宋体"/>
        </w:rPr>
      </w:pPr>
    </w:p>
    <w:tbl>
      <w:tblPr>
        <w:tblW w:w="8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1108"/>
        <w:gridCol w:w="28"/>
        <w:gridCol w:w="10"/>
        <w:gridCol w:w="410"/>
        <w:gridCol w:w="948"/>
        <w:gridCol w:w="629"/>
        <w:gridCol w:w="58"/>
        <w:gridCol w:w="75"/>
        <w:gridCol w:w="15"/>
        <w:gridCol w:w="15"/>
        <w:gridCol w:w="100"/>
        <w:gridCol w:w="948"/>
        <w:gridCol w:w="619"/>
        <w:gridCol w:w="13"/>
        <w:gridCol w:w="11"/>
        <w:gridCol w:w="65"/>
        <w:gridCol w:w="25"/>
        <w:gridCol w:w="900"/>
        <w:gridCol w:w="1794"/>
      </w:tblGrid>
      <w:tr w:rsidR="00AD63B6">
        <w:trPr>
          <w:cantSplit/>
          <w:trHeight w:val="541"/>
        </w:trPr>
        <w:tc>
          <w:tcPr>
            <w:tcW w:w="8472" w:type="dxa"/>
            <w:gridSpan w:val="20"/>
            <w:vAlign w:val="center"/>
          </w:tcPr>
          <w:p w:rsidR="00AD63B6" w:rsidRDefault="00953203">
            <w:pPr>
              <w:spacing w:line="320" w:lineRule="exact"/>
              <w:jc w:val="left"/>
              <w:rPr>
                <w:rFonts w:ascii="宋体" w:hAnsi="宋体"/>
                <w:b/>
                <w:sz w:val="24"/>
              </w:rPr>
            </w:pPr>
            <w:r>
              <w:rPr>
                <w:rFonts w:ascii="宋体" w:hAnsi="宋体" w:hint="eastAsia"/>
                <w:b/>
                <w:sz w:val="24"/>
              </w:rPr>
              <w:t>一、基本信息</w:t>
            </w:r>
          </w:p>
        </w:tc>
      </w:tr>
      <w:tr w:rsidR="00AD63B6">
        <w:trPr>
          <w:cantSplit/>
          <w:trHeight w:val="541"/>
        </w:trPr>
        <w:tc>
          <w:tcPr>
            <w:tcW w:w="8472" w:type="dxa"/>
            <w:gridSpan w:val="20"/>
            <w:vAlign w:val="center"/>
          </w:tcPr>
          <w:p w:rsidR="00AD63B6" w:rsidRDefault="00953203">
            <w:pPr>
              <w:spacing w:line="320" w:lineRule="exact"/>
              <w:jc w:val="left"/>
              <w:rPr>
                <w:rFonts w:ascii="宋体" w:hAnsi="宋体"/>
                <w:sz w:val="24"/>
              </w:rPr>
            </w:pPr>
            <w:r>
              <w:rPr>
                <w:rFonts w:ascii="宋体" w:hAnsi="宋体" w:hint="eastAsia"/>
                <w:sz w:val="24"/>
              </w:rPr>
              <w:t>外债编号（变更</w:t>
            </w:r>
            <w:r>
              <w:rPr>
                <w:rFonts w:ascii="宋体" w:hAnsi="宋体"/>
                <w:sz w:val="24"/>
              </w:rPr>
              <w:t>登记</w:t>
            </w:r>
            <w:r>
              <w:rPr>
                <w:rFonts w:ascii="宋体" w:hAnsi="宋体" w:hint="eastAsia"/>
                <w:sz w:val="24"/>
              </w:rPr>
              <w:t>时填写）：</w:t>
            </w:r>
          </w:p>
        </w:tc>
      </w:tr>
      <w:tr w:rsidR="00AD63B6">
        <w:trPr>
          <w:cantSplit/>
          <w:trHeight w:val="541"/>
        </w:trPr>
        <w:tc>
          <w:tcPr>
            <w:tcW w:w="8472" w:type="dxa"/>
            <w:gridSpan w:val="20"/>
            <w:vAlign w:val="center"/>
          </w:tcPr>
          <w:p w:rsidR="00AD63B6" w:rsidRDefault="00953203">
            <w:pPr>
              <w:spacing w:line="320" w:lineRule="exact"/>
              <w:jc w:val="left"/>
              <w:rPr>
                <w:rFonts w:ascii="宋体" w:hAnsi="宋体"/>
                <w:b/>
                <w:sz w:val="24"/>
              </w:rPr>
            </w:pPr>
            <w:r>
              <w:rPr>
                <w:rFonts w:ascii="宋体" w:hAnsi="宋体" w:hint="eastAsia"/>
                <w:b/>
                <w:sz w:val="24"/>
              </w:rPr>
              <w:t>债务人基本信息</w:t>
            </w:r>
          </w:p>
        </w:tc>
      </w:tr>
      <w:tr w:rsidR="00AD63B6">
        <w:trPr>
          <w:cantSplit/>
          <w:trHeight w:val="541"/>
        </w:trPr>
        <w:tc>
          <w:tcPr>
            <w:tcW w:w="1837" w:type="dxa"/>
            <w:gridSpan w:val="3"/>
            <w:vAlign w:val="center"/>
          </w:tcPr>
          <w:p w:rsidR="00AD63B6" w:rsidRDefault="00953203">
            <w:pPr>
              <w:spacing w:line="320" w:lineRule="exact"/>
              <w:jc w:val="left"/>
              <w:rPr>
                <w:rFonts w:ascii="宋体" w:hAnsi="宋体"/>
                <w:sz w:val="24"/>
              </w:rPr>
            </w:pPr>
            <w:r>
              <w:rPr>
                <w:rFonts w:ascii="宋体" w:hAnsi="宋体" w:hint="eastAsia"/>
                <w:sz w:val="24"/>
              </w:rPr>
              <w:t>统一社会信用代码</w:t>
            </w:r>
          </w:p>
        </w:tc>
        <w:tc>
          <w:tcPr>
            <w:tcW w:w="6635" w:type="dxa"/>
            <w:gridSpan w:val="17"/>
            <w:vAlign w:val="center"/>
          </w:tcPr>
          <w:p w:rsidR="00AD63B6" w:rsidRDefault="00AD63B6">
            <w:pPr>
              <w:spacing w:line="320" w:lineRule="exact"/>
              <w:jc w:val="center"/>
              <w:rPr>
                <w:rFonts w:ascii="宋体" w:hAnsi="宋体"/>
                <w:sz w:val="24"/>
              </w:rPr>
            </w:pPr>
          </w:p>
        </w:tc>
      </w:tr>
      <w:tr w:rsidR="00AD63B6">
        <w:trPr>
          <w:cantSplit/>
          <w:trHeight w:val="556"/>
        </w:trPr>
        <w:tc>
          <w:tcPr>
            <w:tcW w:w="1837" w:type="dxa"/>
            <w:gridSpan w:val="3"/>
            <w:vAlign w:val="center"/>
          </w:tcPr>
          <w:p w:rsidR="00AD63B6" w:rsidRDefault="00953203">
            <w:pPr>
              <w:spacing w:line="320" w:lineRule="exact"/>
              <w:jc w:val="left"/>
              <w:rPr>
                <w:rFonts w:ascii="宋体" w:hAnsi="宋体"/>
                <w:sz w:val="24"/>
              </w:rPr>
            </w:pPr>
            <w:r>
              <w:rPr>
                <w:rFonts w:ascii="宋体" w:hAnsi="宋体" w:hint="eastAsia"/>
                <w:sz w:val="24"/>
              </w:rPr>
              <w:t>债务人名称</w:t>
            </w:r>
          </w:p>
        </w:tc>
        <w:tc>
          <w:tcPr>
            <w:tcW w:w="1997" w:type="dxa"/>
            <w:gridSpan w:val="4"/>
            <w:vAlign w:val="center"/>
          </w:tcPr>
          <w:p w:rsidR="00AD63B6" w:rsidRDefault="00AD63B6">
            <w:pPr>
              <w:spacing w:line="320" w:lineRule="exact"/>
              <w:jc w:val="center"/>
              <w:rPr>
                <w:rFonts w:ascii="宋体" w:hAnsi="宋体"/>
                <w:sz w:val="24"/>
              </w:rPr>
            </w:pPr>
          </w:p>
        </w:tc>
        <w:tc>
          <w:tcPr>
            <w:tcW w:w="1854" w:type="dxa"/>
            <w:gridSpan w:val="9"/>
            <w:vAlign w:val="center"/>
          </w:tcPr>
          <w:p w:rsidR="00AD63B6" w:rsidRDefault="00953203">
            <w:pPr>
              <w:spacing w:line="320" w:lineRule="exact"/>
              <w:jc w:val="center"/>
              <w:rPr>
                <w:rFonts w:ascii="宋体" w:hAnsi="宋体"/>
                <w:sz w:val="24"/>
              </w:rPr>
            </w:pPr>
            <w:r>
              <w:rPr>
                <w:rFonts w:ascii="宋体" w:hAnsi="宋体" w:hint="eastAsia"/>
                <w:sz w:val="24"/>
              </w:rPr>
              <w:t>债务人类型</w:t>
            </w:r>
          </w:p>
        </w:tc>
        <w:tc>
          <w:tcPr>
            <w:tcW w:w="2784" w:type="dxa"/>
            <w:gridSpan w:val="4"/>
            <w:vAlign w:val="center"/>
          </w:tcPr>
          <w:p w:rsidR="00AD63B6" w:rsidRDefault="00AD63B6">
            <w:pPr>
              <w:keepNext/>
              <w:keepLines/>
              <w:spacing w:line="320" w:lineRule="exact"/>
              <w:jc w:val="center"/>
              <w:outlineLvl w:val="0"/>
              <w:rPr>
                <w:rFonts w:ascii="宋体" w:hAnsi="宋体"/>
                <w:sz w:val="24"/>
              </w:rPr>
            </w:pPr>
          </w:p>
        </w:tc>
      </w:tr>
      <w:tr w:rsidR="00AD63B6">
        <w:trPr>
          <w:cantSplit/>
          <w:trHeight w:val="556"/>
        </w:trPr>
        <w:tc>
          <w:tcPr>
            <w:tcW w:w="8472" w:type="dxa"/>
            <w:gridSpan w:val="20"/>
            <w:vAlign w:val="center"/>
          </w:tcPr>
          <w:p w:rsidR="00AD63B6" w:rsidRDefault="00953203">
            <w:pPr>
              <w:keepNext/>
              <w:keepLines/>
              <w:spacing w:line="320" w:lineRule="exact"/>
              <w:jc w:val="left"/>
              <w:outlineLvl w:val="0"/>
              <w:rPr>
                <w:rFonts w:ascii="宋体" w:hAnsi="宋体"/>
                <w:sz w:val="24"/>
              </w:rPr>
            </w:pPr>
            <w:r>
              <w:rPr>
                <w:rFonts w:ascii="宋体" w:hAnsi="宋体" w:hint="eastAsia"/>
                <w:b/>
                <w:sz w:val="24"/>
              </w:rPr>
              <w:t>债权人基本信息</w:t>
            </w:r>
          </w:p>
        </w:tc>
      </w:tr>
      <w:tr w:rsidR="00AD63B6">
        <w:trPr>
          <w:cantSplit/>
          <w:trHeight w:val="556"/>
        </w:trPr>
        <w:tc>
          <w:tcPr>
            <w:tcW w:w="1837" w:type="dxa"/>
            <w:gridSpan w:val="3"/>
            <w:vAlign w:val="center"/>
          </w:tcPr>
          <w:p w:rsidR="00AD63B6" w:rsidRDefault="00953203">
            <w:pPr>
              <w:keepNext/>
              <w:keepLines/>
              <w:spacing w:line="320" w:lineRule="exact"/>
              <w:jc w:val="center"/>
              <w:outlineLvl w:val="0"/>
              <w:rPr>
                <w:rFonts w:ascii="宋体" w:hAnsi="宋体"/>
                <w:sz w:val="24"/>
              </w:rPr>
            </w:pPr>
            <w:r>
              <w:rPr>
                <w:rFonts w:ascii="宋体" w:hAnsi="宋体" w:hint="eastAsia"/>
                <w:sz w:val="24"/>
              </w:rPr>
              <w:t>债权人名称</w:t>
            </w:r>
          </w:p>
        </w:tc>
        <w:tc>
          <w:tcPr>
            <w:tcW w:w="2055" w:type="dxa"/>
            <w:gridSpan w:val="5"/>
            <w:vAlign w:val="center"/>
          </w:tcPr>
          <w:p w:rsidR="00AD63B6" w:rsidRDefault="00AD63B6">
            <w:pPr>
              <w:keepNext/>
              <w:keepLines/>
              <w:spacing w:line="320" w:lineRule="exact"/>
              <w:jc w:val="center"/>
              <w:outlineLvl w:val="0"/>
              <w:rPr>
                <w:rFonts w:ascii="宋体" w:hAnsi="宋体"/>
                <w:sz w:val="24"/>
              </w:rPr>
            </w:pPr>
          </w:p>
        </w:tc>
        <w:tc>
          <w:tcPr>
            <w:tcW w:w="1785" w:type="dxa"/>
            <w:gridSpan w:val="7"/>
            <w:vAlign w:val="center"/>
          </w:tcPr>
          <w:p w:rsidR="00AD63B6" w:rsidRDefault="00953203">
            <w:pPr>
              <w:keepNext/>
              <w:keepLines/>
              <w:spacing w:line="320" w:lineRule="exact"/>
              <w:jc w:val="center"/>
              <w:outlineLvl w:val="0"/>
              <w:rPr>
                <w:rFonts w:ascii="宋体" w:hAnsi="宋体"/>
                <w:sz w:val="24"/>
              </w:rPr>
            </w:pPr>
            <w:r>
              <w:rPr>
                <w:rFonts w:ascii="宋体" w:hAnsi="宋体" w:hint="eastAsia"/>
                <w:sz w:val="24"/>
              </w:rPr>
              <w:t>债权人类型</w:t>
            </w:r>
          </w:p>
        </w:tc>
        <w:tc>
          <w:tcPr>
            <w:tcW w:w="2795" w:type="dxa"/>
            <w:gridSpan w:val="5"/>
            <w:vAlign w:val="center"/>
          </w:tcPr>
          <w:p w:rsidR="00AD63B6" w:rsidRDefault="00AD63B6">
            <w:pPr>
              <w:keepNext/>
              <w:keepLines/>
              <w:spacing w:line="320" w:lineRule="exact"/>
              <w:jc w:val="center"/>
              <w:outlineLvl w:val="0"/>
              <w:rPr>
                <w:rFonts w:ascii="宋体" w:hAnsi="宋体"/>
                <w:sz w:val="24"/>
              </w:rPr>
            </w:pPr>
          </w:p>
        </w:tc>
      </w:tr>
      <w:tr w:rsidR="00AD63B6">
        <w:trPr>
          <w:cantSplit/>
          <w:trHeight w:val="556"/>
        </w:trPr>
        <w:tc>
          <w:tcPr>
            <w:tcW w:w="1837" w:type="dxa"/>
            <w:gridSpan w:val="3"/>
            <w:vAlign w:val="center"/>
          </w:tcPr>
          <w:p w:rsidR="00AD63B6" w:rsidRDefault="00953203">
            <w:pPr>
              <w:spacing w:line="320" w:lineRule="exact"/>
              <w:jc w:val="left"/>
              <w:rPr>
                <w:rFonts w:ascii="宋体" w:hAnsi="宋体"/>
                <w:sz w:val="24"/>
              </w:rPr>
            </w:pPr>
            <w:r>
              <w:rPr>
                <w:rFonts w:ascii="宋体" w:hAnsi="宋体" w:hint="eastAsia"/>
                <w:sz w:val="24"/>
              </w:rPr>
              <w:t>债权人总部所在国家（地区）</w:t>
            </w:r>
          </w:p>
        </w:tc>
        <w:tc>
          <w:tcPr>
            <w:tcW w:w="2055" w:type="dxa"/>
            <w:gridSpan w:val="5"/>
            <w:tcBorders>
              <w:right w:val="single" w:sz="4" w:space="0" w:color="auto"/>
            </w:tcBorders>
            <w:vAlign w:val="center"/>
          </w:tcPr>
          <w:p w:rsidR="00AD63B6" w:rsidRDefault="00AD63B6">
            <w:pPr>
              <w:keepNext/>
              <w:keepLines/>
              <w:spacing w:line="320" w:lineRule="exact"/>
              <w:jc w:val="center"/>
              <w:outlineLvl w:val="0"/>
              <w:rPr>
                <w:rFonts w:ascii="宋体" w:hAnsi="宋体"/>
                <w:sz w:val="24"/>
              </w:rPr>
            </w:pPr>
          </w:p>
        </w:tc>
        <w:tc>
          <w:tcPr>
            <w:tcW w:w="1785" w:type="dxa"/>
            <w:gridSpan w:val="7"/>
            <w:tcBorders>
              <w:left w:val="single" w:sz="4" w:space="0" w:color="auto"/>
              <w:right w:val="single" w:sz="4" w:space="0" w:color="auto"/>
            </w:tcBorders>
            <w:vAlign w:val="center"/>
          </w:tcPr>
          <w:p w:rsidR="00AD63B6" w:rsidRDefault="00953203">
            <w:pPr>
              <w:keepNext/>
              <w:keepLines/>
              <w:spacing w:line="320" w:lineRule="exact"/>
              <w:outlineLvl w:val="0"/>
              <w:rPr>
                <w:rFonts w:ascii="宋体" w:hAnsi="宋体"/>
                <w:sz w:val="24"/>
              </w:rPr>
            </w:pPr>
            <w:r>
              <w:rPr>
                <w:rFonts w:ascii="宋体" w:hAnsi="宋体" w:hint="eastAsia"/>
                <w:sz w:val="24"/>
              </w:rPr>
              <w:t>债权人经营地所在国家（地区）</w:t>
            </w:r>
          </w:p>
        </w:tc>
        <w:tc>
          <w:tcPr>
            <w:tcW w:w="2795" w:type="dxa"/>
            <w:gridSpan w:val="5"/>
            <w:tcBorders>
              <w:left w:val="single" w:sz="4" w:space="0" w:color="auto"/>
            </w:tcBorders>
            <w:vAlign w:val="center"/>
          </w:tcPr>
          <w:p w:rsidR="00AD63B6" w:rsidRDefault="00AD63B6">
            <w:pPr>
              <w:keepNext/>
              <w:keepLines/>
              <w:spacing w:line="320" w:lineRule="exact"/>
              <w:jc w:val="center"/>
              <w:outlineLvl w:val="0"/>
              <w:rPr>
                <w:rFonts w:ascii="宋体" w:hAnsi="宋体"/>
                <w:sz w:val="24"/>
              </w:rPr>
            </w:pPr>
          </w:p>
        </w:tc>
      </w:tr>
      <w:tr w:rsidR="00AD63B6">
        <w:trPr>
          <w:cantSplit/>
          <w:trHeight w:val="704"/>
        </w:trPr>
        <w:tc>
          <w:tcPr>
            <w:tcW w:w="8472" w:type="dxa"/>
            <w:gridSpan w:val="20"/>
            <w:vAlign w:val="center"/>
          </w:tcPr>
          <w:p w:rsidR="00AD63B6" w:rsidRDefault="00953203">
            <w:pPr>
              <w:spacing w:line="320" w:lineRule="exact"/>
              <w:rPr>
                <w:rFonts w:ascii="宋体" w:hAnsi="宋体"/>
                <w:b/>
                <w:sz w:val="24"/>
              </w:rPr>
            </w:pPr>
            <w:r>
              <w:rPr>
                <w:rFonts w:ascii="宋体" w:hAnsi="宋体" w:hint="eastAsia"/>
                <w:b/>
                <w:sz w:val="24"/>
              </w:rPr>
              <w:t>二、本笔跨境融资信息</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签约币种</w:t>
            </w:r>
          </w:p>
        </w:tc>
        <w:tc>
          <w:tcPr>
            <w:tcW w:w="2130" w:type="dxa"/>
            <w:gridSpan w:val="6"/>
            <w:tcBorders>
              <w:right w:val="single" w:sz="4" w:space="0" w:color="auto"/>
            </w:tcBorders>
            <w:vAlign w:val="center"/>
          </w:tcPr>
          <w:p w:rsidR="00AD63B6" w:rsidRDefault="00AD63B6">
            <w:pPr>
              <w:spacing w:line="320" w:lineRule="exact"/>
              <w:jc w:val="center"/>
              <w:rPr>
                <w:rFonts w:ascii="宋体" w:hAnsi="宋体"/>
                <w:sz w:val="24"/>
              </w:rPr>
            </w:pPr>
          </w:p>
        </w:tc>
        <w:tc>
          <w:tcPr>
            <w:tcW w:w="1697" w:type="dxa"/>
            <w:gridSpan w:val="5"/>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本笔跨境融资签约额</w:t>
            </w:r>
          </w:p>
        </w:tc>
        <w:tc>
          <w:tcPr>
            <w:tcW w:w="2808" w:type="dxa"/>
            <w:gridSpan w:val="6"/>
            <w:tcBorders>
              <w:left w:val="single" w:sz="4" w:space="0" w:color="auto"/>
            </w:tcBorders>
            <w:vAlign w:val="center"/>
          </w:tcPr>
          <w:p w:rsidR="00AD63B6" w:rsidRDefault="00AD63B6">
            <w:pPr>
              <w:spacing w:line="320" w:lineRule="exact"/>
              <w:jc w:val="center"/>
              <w:rPr>
                <w:rFonts w:ascii="宋体" w:hAnsi="宋体"/>
                <w:sz w:val="24"/>
              </w:rPr>
            </w:pP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债务类型</w:t>
            </w:r>
          </w:p>
        </w:tc>
        <w:tc>
          <w:tcPr>
            <w:tcW w:w="2130" w:type="dxa"/>
            <w:gridSpan w:val="6"/>
            <w:tcBorders>
              <w:right w:val="single" w:sz="4" w:space="0" w:color="auto"/>
            </w:tcBorders>
            <w:vAlign w:val="center"/>
          </w:tcPr>
          <w:p w:rsidR="00AD63B6" w:rsidRDefault="00AD63B6">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签约日</w:t>
            </w:r>
          </w:p>
        </w:tc>
        <w:tc>
          <w:tcPr>
            <w:tcW w:w="2808" w:type="dxa"/>
            <w:gridSpan w:val="6"/>
            <w:tcBorders>
              <w:left w:val="single" w:sz="4" w:space="0" w:color="auto"/>
            </w:tcBorders>
            <w:vAlign w:val="center"/>
          </w:tcPr>
          <w:p w:rsidR="00AD63B6" w:rsidRDefault="00AD63B6">
            <w:pPr>
              <w:spacing w:line="320" w:lineRule="exact"/>
              <w:jc w:val="center"/>
              <w:rPr>
                <w:rFonts w:ascii="宋体" w:hAnsi="宋体"/>
                <w:sz w:val="24"/>
              </w:rPr>
            </w:pP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起息日</w:t>
            </w:r>
          </w:p>
        </w:tc>
        <w:tc>
          <w:tcPr>
            <w:tcW w:w="2130" w:type="dxa"/>
            <w:gridSpan w:val="6"/>
            <w:tcBorders>
              <w:right w:val="single" w:sz="4" w:space="0" w:color="auto"/>
            </w:tcBorders>
            <w:vAlign w:val="center"/>
          </w:tcPr>
          <w:p w:rsidR="00AD63B6" w:rsidRDefault="00AD63B6">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到期日</w:t>
            </w:r>
          </w:p>
        </w:tc>
        <w:tc>
          <w:tcPr>
            <w:tcW w:w="2808" w:type="dxa"/>
            <w:gridSpan w:val="6"/>
            <w:tcBorders>
              <w:left w:val="single" w:sz="4" w:space="0" w:color="auto"/>
            </w:tcBorders>
            <w:vAlign w:val="center"/>
          </w:tcPr>
          <w:p w:rsidR="00AD63B6" w:rsidRDefault="00AD63B6">
            <w:pPr>
              <w:spacing w:line="320" w:lineRule="exact"/>
              <w:jc w:val="center"/>
              <w:rPr>
                <w:rFonts w:ascii="宋体" w:hAnsi="宋体"/>
                <w:sz w:val="24"/>
              </w:rPr>
            </w:pP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本笔跨境融资年利率</w:t>
            </w:r>
          </w:p>
        </w:tc>
        <w:tc>
          <w:tcPr>
            <w:tcW w:w="2130" w:type="dxa"/>
            <w:gridSpan w:val="6"/>
            <w:tcBorders>
              <w:right w:val="single" w:sz="4" w:space="0" w:color="auto"/>
            </w:tcBorders>
            <w:vAlign w:val="center"/>
          </w:tcPr>
          <w:p w:rsidR="00AD63B6" w:rsidRDefault="00AD63B6">
            <w:pPr>
              <w:spacing w:line="320" w:lineRule="exact"/>
              <w:jc w:val="center"/>
              <w:rPr>
                <w:rFonts w:ascii="宋体" w:hAnsi="宋体"/>
                <w:sz w:val="24"/>
              </w:rPr>
            </w:pPr>
          </w:p>
        </w:tc>
        <w:tc>
          <w:tcPr>
            <w:tcW w:w="1697" w:type="dxa"/>
            <w:gridSpan w:val="5"/>
            <w:tcBorders>
              <w:left w:val="single" w:sz="4" w:space="0" w:color="auto"/>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是否浮动</w:t>
            </w:r>
            <w:r>
              <w:rPr>
                <w:rFonts w:ascii="宋体" w:hAnsi="宋体"/>
                <w:sz w:val="24"/>
              </w:rPr>
              <w:t>利</w:t>
            </w:r>
            <w:r>
              <w:rPr>
                <w:rFonts w:ascii="宋体" w:hAnsi="宋体" w:hint="eastAsia"/>
                <w:sz w:val="24"/>
              </w:rPr>
              <w:t>率</w:t>
            </w:r>
          </w:p>
        </w:tc>
        <w:tc>
          <w:tcPr>
            <w:tcW w:w="2808" w:type="dxa"/>
            <w:gridSpan w:val="6"/>
            <w:tcBorders>
              <w:lef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是否循环类贷款</w:t>
            </w:r>
          </w:p>
        </w:tc>
        <w:tc>
          <w:tcPr>
            <w:tcW w:w="2130" w:type="dxa"/>
            <w:gridSpan w:val="6"/>
            <w:tcBorders>
              <w:right w:val="single" w:sz="4" w:space="0" w:color="auto"/>
            </w:tcBorders>
            <w:vAlign w:val="center"/>
          </w:tcPr>
          <w:p w:rsidR="00AD63B6" w:rsidRDefault="00953203">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是否存在提前还款条款</w:t>
            </w:r>
          </w:p>
        </w:tc>
        <w:tc>
          <w:tcPr>
            <w:tcW w:w="2808" w:type="dxa"/>
            <w:gridSpan w:val="6"/>
            <w:tcBorders>
              <w:left w:val="single" w:sz="4" w:space="0" w:color="auto"/>
            </w:tcBorders>
            <w:vAlign w:val="center"/>
          </w:tcPr>
          <w:p w:rsidR="00AD63B6" w:rsidRDefault="00953203">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是否有利息本金化条款</w:t>
            </w:r>
          </w:p>
        </w:tc>
        <w:tc>
          <w:tcPr>
            <w:tcW w:w="2130" w:type="dxa"/>
            <w:gridSpan w:val="6"/>
            <w:tcBorders>
              <w:righ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是否有交叉违约条款</w:t>
            </w:r>
          </w:p>
        </w:tc>
        <w:tc>
          <w:tcPr>
            <w:tcW w:w="2808" w:type="dxa"/>
            <w:gridSpan w:val="6"/>
            <w:tcBorders>
              <w:lef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是否存在加速到期条款</w:t>
            </w:r>
          </w:p>
        </w:tc>
        <w:tc>
          <w:tcPr>
            <w:tcW w:w="2130" w:type="dxa"/>
            <w:gridSpan w:val="6"/>
            <w:tcBorders>
              <w:righ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97" w:type="dxa"/>
            <w:gridSpan w:val="5"/>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是否外保内贷履约</w:t>
            </w:r>
          </w:p>
        </w:tc>
        <w:tc>
          <w:tcPr>
            <w:tcW w:w="2808" w:type="dxa"/>
            <w:gridSpan w:val="6"/>
            <w:tcBorders>
              <w:lef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t>是否为境内银行离岸部贷款</w:t>
            </w:r>
          </w:p>
        </w:tc>
        <w:tc>
          <w:tcPr>
            <w:tcW w:w="6635" w:type="dxa"/>
            <w:gridSpan w:val="17"/>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rPr>
                <w:rFonts w:ascii="宋体" w:hAnsi="宋体"/>
                <w:sz w:val="24"/>
              </w:rPr>
            </w:pPr>
            <w:r>
              <w:rPr>
                <w:rFonts w:ascii="宋体" w:hAnsi="宋体" w:hint="eastAsia"/>
                <w:sz w:val="24"/>
              </w:rPr>
              <w:lastRenderedPageBreak/>
              <w:t>是否占用外债额度</w:t>
            </w:r>
          </w:p>
        </w:tc>
        <w:tc>
          <w:tcPr>
            <w:tcW w:w="2160" w:type="dxa"/>
            <w:gridSpan w:val="8"/>
            <w:tcBorders>
              <w:right w:val="single" w:sz="4" w:space="0" w:color="auto"/>
            </w:tcBorders>
            <w:vAlign w:val="center"/>
          </w:tcPr>
          <w:p w:rsidR="00AD63B6" w:rsidRDefault="00953203">
            <w:pPr>
              <w:spacing w:line="320" w:lineRule="exact"/>
              <w:jc w:val="center"/>
              <w:rPr>
                <w:rFonts w:ascii="宋体" w:hAnsi="宋体"/>
                <w:spacing w:val="-9"/>
                <w:sz w:val="18"/>
                <w:szCs w:val="18"/>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c>
          <w:tcPr>
            <w:tcW w:w="1680" w:type="dxa"/>
            <w:gridSpan w:val="4"/>
            <w:tcBorders>
              <w:left w:val="single" w:sz="4" w:space="0" w:color="auto"/>
              <w:right w:val="single" w:sz="4" w:space="0" w:color="auto"/>
            </w:tcBorders>
            <w:vAlign w:val="center"/>
          </w:tcPr>
          <w:p w:rsidR="00AD63B6" w:rsidRDefault="00953203">
            <w:pPr>
              <w:spacing w:line="320" w:lineRule="exact"/>
              <w:jc w:val="center"/>
              <w:rPr>
                <w:rFonts w:ascii="宋体" w:hAnsi="宋体"/>
                <w:spacing w:val="-9"/>
                <w:sz w:val="18"/>
                <w:szCs w:val="18"/>
              </w:rPr>
            </w:pPr>
            <w:r>
              <w:rPr>
                <w:rFonts w:ascii="宋体" w:hAnsi="宋体" w:hint="eastAsia"/>
                <w:sz w:val="24"/>
              </w:rPr>
              <w:t>豁免类型</w:t>
            </w:r>
          </w:p>
        </w:tc>
        <w:tc>
          <w:tcPr>
            <w:tcW w:w="2795" w:type="dxa"/>
            <w:gridSpan w:val="5"/>
            <w:tcBorders>
              <w:left w:val="single" w:sz="4" w:space="0" w:color="auto"/>
            </w:tcBorders>
            <w:vAlign w:val="center"/>
          </w:tcPr>
          <w:p w:rsidR="00AD63B6" w:rsidRDefault="00AD63B6">
            <w:pPr>
              <w:spacing w:line="320" w:lineRule="exact"/>
              <w:jc w:val="center"/>
              <w:rPr>
                <w:rFonts w:ascii="宋体" w:hAnsi="宋体"/>
                <w:spacing w:val="-9"/>
                <w:sz w:val="18"/>
                <w:szCs w:val="18"/>
              </w:rPr>
            </w:pPr>
          </w:p>
        </w:tc>
      </w:tr>
      <w:tr w:rsidR="00AD63B6">
        <w:trPr>
          <w:cantSplit/>
          <w:trHeight w:val="704"/>
        </w:trPr>
        <w:tc>
          <w:tcPr>
            <w:tcW w:w="1847" w:type="dxa"/>
            <w:gridSpan w:val="4"/>
            <w:tcBorders>
              <w:right w:val="single" w:sz="4" w:space="0" w:color="auto"/>
            </w:tcBorders>
            <w:vAlign w:val="center"/>
          </w:tcPr>
          <w:p w:rsidR="00AD63B6" w:rsidRDefault="00953203">
            <w:pPr>
              <w:spacing w:line="320" w:lineRule="exact"/>
              <w:jc w:val="left"/>
              <w:rPr>
                <w:rFonts w:ascii="宋体" w:hAnsi="宋体"/>
                <w:sz w:val="24"/>
              </w:rPr>
            </w:pPr>
            <w:r>
              <w:rPr>
                <w:rFonts w:ascii="宋体" w:hAnsi="宋体" w:hint="eastAsia"/>
                <w:sz w:val="24"/>
              </w:rPr>
              <w:t>是否内保外贷资金调回境内</w:t>
            </w:r>
          </w:p>
        </w:tc>
        <w:tc>
          <w:tcPr>
            <w:tcW w:w="6625" w:type="dxa"/>
            <w:gridSpan w:val="16"/>
            <w:tcBorders>
              <w:left w:val="single" w:sz="4" w:space="0" w:color="auto"/>
            </w:tcBorders>
            <w:vAlign w:val="center"/>
          </w:tcPr>
          <w:p w:rsidR="00AD63B6" w:rsidRDefault="00953203">
            <w:pPr>
              <w:spacing w:line="320" w:lineRule="exact"/>
              <w:jc w:val="center"/>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jc w:val="left"/>
              <w:rPr>
                <w:rFonts w:ascii="宋体" w:hAnsi="宋体"/>
                <w:spacing w:val="-9"/>
                <w:sz w:val="18"/>
                <w:szCs w:val="18"/>
              </w:rPr>
            </w:pPr>
            <w:r>
              <w:rPr>
                <w:rFonts w:ascii="宋体" w:hAnsi="宋体" w:hint="eastAsia"/>
                <w:sz w:val="24"/>
              </w:rPr>
              <w:t>内保外贷业务编号</w:t>
            </w:r>
          </w:p>
        </w:tc>
        <w:tc>
          <w:tcPr>
            <w:tcW w:w="2055" w:type="dxa"/>
            <w:gridSpan w:val="5"/>
            <w:tcBorders>
              <w:left w:val="single" w:sz="4" w:space="0" w:color="auto"/>
              <w:right w:val="single" w:sz="4" w:space="0" w:color="auto"/>
            </w:tcBorders>
            <w:vAlign w:val="center"/>
          </w:tcPr>
          <w:p w:rsidR="00AD63B6" w:rsidRDefault="00AD63B6">
            <w:pPr>
              <w:spacing w:line="320" w:lineRule="exact"/>
              <w:jc w:val="center"/>
              <w:rPr>
                <w:rFonts w:ascii="宋体" w:hAnsi="宋体"/>
                <w:spacing w:val="-9"/>
                <w:sz w:val="18"/>
                <w:szCs w:val="18"/>
              </w:rPr>
            </w:pPr>
          </w:p>
        </w:tc>
        <w:tc>
          <w:tcPr>
            <w:tcW w:w="1785" w:type="dxa"/>
            <w:gridSpan w:val="7"/>
            <w:tcBorders>
              <w:left w:val="single" w:sz="4" w:space="0" w:color="auto"/>
              <w:right w:val="single" w:sz="4" w:space="0" w:color="auto"/>
            </w:tcBorders>
            <w:vAlign w:val="center"/>
          </w:tcPr>
          <w:p w:rsidR="00AD63B6" w:rsidRDefault="00953203">
            <w:pPr>
              <w:spacing w:line="320" w:lineRule="exact"/>
              <w:jc w:val="left"/>
              <w:rPr>
                <w:rFonts w:ascii="宋体" w:hAnsi="宋体"/>
                <w:spacing w:val="-9"/>
                <w:sz w:val="18"/>
                <w:szCs w:val="18"/>
              </w:rPr>
            </w:pPr>
            <w:r>
              <w:rPr>
                <w:rFonts w:ascii="宋体" w:hAnsi="宋体" w:hint="eastAsia"/>
                <w:sz w:val="24"/>
              </w:rPr>
              <w:t>调回金额占比（%）</w:t>
            </w:r>
          </w:p>
        </w:tc>
        <w:tc>
          <w:tcPr>
            <w:tcW w:w="2795" w:type="dxa"/>
            <w:gridSpan w:val="5"/>
            <w:tcBorders>
              <w:left w:val="single" w:sz="4" w:space="0" w:color="auto"/>
            </w:tcBorders>
            <w:vAlign w:val="center"/>
          </w:tcPr>
          <w:p w:rsidR="00AD63B6" w:rsidRDefault="00AD63B6">
            <w:pPr>
              <w:spacing w:line="320" w:lineRule="exact"/>
              <w:jc w:val="center"/>
              <w:rPr>
                <w:rFonts w:ascii="宋体" w:hAnsi="宋体"/>
                <w:spacing w:val="-9"/>
                <w:sz w:val="18"/>
                <w:szCs w:val="18"/>
              </w:rPr>
            </w:pP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jc w:val="left"/>
              <w:rPr>
                <w:rFonts w:ascii="宋体" w:hAnsi="宋体"/>
                <w:sz w:val="24"/>
              </w:rPr>
            </w:pPr>
            <w:r>
              <w:rPr>
                <w:rFonts w:ascii="宋体" w:hAnsi="宋体" w:hint="eastAsia"/>
                <w:sz w:val="24"/>
              </w:rPr>
              <w:t>跨境融资资金用途</w:t>
            </w:r>
          </w:p>
        </w:tc>
        <w:tc>
          <w:tcPr>
            <w:tcW w:w="6635" w:type="dxa"/>
            <w:gridSpan w:val="17"/>
            <w:tcBorders>
              <w:left w:val="single" w:sz="4" w:space="0" w:color="auto"/>
            </w:tcBorders>
            <w:vAlign w:val="center"/>
          </w:tcPr>
          <w:p w:rsidR="00AD63B6" w:rsidRDefault="00AD63B6">
            <w:pPr>
              <w:spacing w:line="320" w:lineRule="exact"/>
              <w:jc w:val="center"/>
              <w:rPr>
                <w:rFonts w:ascii="宋体" w:hAnsi="宋体"/>
                <w:spacing w:val="-9"/>
                <w:sz w:val="18"/>
                <w:szCs w:val="18"/>
              </w:rPr>
            </w:pPr>
          </w:p>
        </w:tc>
      </w:tr>
      <w:tr w:rsidR="00AD63B6">
        <w:trPr>
          <w:cantSplit/>
          <w:trHeight w:val="704"/>
        </w:trPr>
        <w:tc>
          <w:tcPr>
            <w:tcW w:w="1837" w:type="dxa"/>
            <w:gridSpan w:val="3"/>
            <w:tcBorders>
              <w:right w:val="single" w:sz="4" w:space="0" w:color="auto"/>
            </w:tcBorders>
            <w:vAlign w:val="center"/>
          </w:tcPr>
          <w:p w:rsidR="00AD63B6" w:rsidRDefault="00953203">
            <w:pPr>
              <w:spacing w:line="320" w:lineRule="exact"/>
              <w:jc w:val="left"/>
              <w:rPr>
                <w:rFonts w:ascii="宋体" w:hAnsi="宋体"/>
                <w:sz w:val="24"/>
              </w:rPr>
            </w:pPr>
            <w:r>
              <w:rPr>
                <w:rFonts w:ascii="宋体" w:hAnsi="宋体" w:hint="eastAsia"/>
                <w:sz w:val="24"/>
              </w:rPr>
              <w:t>跨境融资还款来源</w:t>
            </w:r>
          </w:p>
        </w:tc>
        <w:tc>
          <w:tcPr>
            <w:tcW w:w="6635" w:type="dxa"/>
            <w:gridSpan w:val="17"/>
            <w:tcBorders>
              <w:left w:val="single" w:sz="4" w:space="0" w:color="auto"/>
            </w:tcBorders>
            <w:vAlign w:val="center"/>
          </w:tcPr>
          <w:p w:rsidR="00AD63B6" w:rsidRDefault="00AD63B6">
            <w:pPr>
              <w:spacing w:line="320" w:lineRule="exact"/>
              <w:jc w:val="center"/>
              <w:rPr>
                <w:rFonts w:ascii="宋体" w:hAnsi="宋体"/>
                <w:spacing w:val="-9"/>
                <w:sz w:val="18"/>
                <w:szCs w:val="18"/>
              </w:rPr>
            </w:pPr>
          </w:p>
        </w:tc>
      </w:tr>
      <w:tr w:rsidR="00AD63B6">
        <w:trPr>
          <w:cantSplit/>
          <w:trHeight w:val="564"/>
        </w:trPr>
        <w:tc>
          <w:tcPr>
            <w:tcW w:w="8472" w:type="dxa"/>
            <w:gridSpan w:val="20"/>
            <w:vAlign w:val="center"/>
          </w:tcPr>
          <w:p w:rsidR="00AD63B6" w:rsidRDefault="00953203">
            <w:pPr>
              <w:spacing w:line="320" w:lineRule="exact"/>
              <w:jc w:val="left"/>
              <w:rPr>
                <w:rFonts w:ascii="宋体" w:hAnsi="宋体"/>
                <w:b/>
                <w:sz w:val="24"/>
              </w:rPr>
            </w:pPr>
            <w:r>
              <w:rPr>
                <w:rFonts w:ascii="宋体" w:hAnsi="宋体" w:hint="eastAsia"/>
                <w:b/>
                <w:sz w:val="24"/>
              </w:rPr>
              <w:t>三、跨境融资风险加权余额</w:t>
            </w:r>
          </w:p>
        </w:tc>
      </w:tr>
      <w:tr w:rsidR="00AD63B6">
        <w:trPr>
          <w:cantSplit/>
          <w:trHeight w:val="564"/>
        </w:trPr>
        <w:tc>
          <w:tcPr>
            <w:tcW w:w="8472" w:type="dxa"/>
            <w:gridSpan w:val="20"/>
            <w:vAlign w:val="center"/>
          </w:tcPr>
          <w:p w:rsidR="00AD63B6" w:rsidRDefault="00953203">
            <w:pPr>
              <w:spacing w:line="320" w:lineRule="exact"/>
              <w:jc w:val="left"/>
              <w:rPr>
                <w:rFonts w:ascii="宋体" w:hAnsi="宋体"/>
                <w:b/>
                <w:sz w:val="24"/>
              </w:rPr>
            </w:pPr>
            <w:r>
              <w:rPr>
                <w:rFonts w:ascii="宋体" w:hAnsi="宋体" w:hint="eastAsia"/>
                <w:b/>
                <w:sz w:val="24"/>
              </w:rPr>
              <w:t>跨境融资风险加权余额上限</w:t>
            </w:r>
            <w:r>
              <w:rPr>
                <w:rFonts w:ascii="宋体" w:hAnsi="宋体"/>
                <w:b/>
                <w:sz w:val="24"/>
              </w:rPr>
              <w:t>（单位：万元人民币）</w:t>
            </w:r>
          </w:p>
        </w:tc>
      </w:tr>
      <w:tr w:rsidR="00AD63B6">
        <w:trPr>
          <w:cantSplit/>
          <w:trHeight w:val="564"/>
        </w:trPr>
        <w:tc>
          <w:tcPr>
            <w:tcW w:w="1809" w:type="dxa"/>
            <w:gridSpan w:val="2"/>
            <w:vAlign w:val="center"/>
          </w:tcPr>
          <w:p w:rsidR="00AD63B6" w:rsidRDefault="00953203">
            <w:pPr>
              <w:spacing w:line="320" w:lineRule="exact"/>
              <w:jc w:val="left"/>
              <w:rPr>
                <w:rFonts w:ascii="宋体" w:hAnsi="宋体"/>
                <w:sz w:val="24"/>
              </w:rPr>
            </w:pPr>
            <w:r>
              <w:rPr>
                <w:rFonts w:ascii="宋体" w:hAnsi="宋体" w:hint="eastAsia"/>
                <w:sz w:val="24"/>
              </w:rPr>
              <w:t>净资产</w:t>
            </w:r>
          </w:p>
        </w:tc>
        <w:tc>
          <w:tcPr>
            <w:tcW w:w="2173" w:type="dxa"/>
            <w:gridSpan w:val="8"/>
            <w:tcBorders>
              <w:right w:val="single" w:sz="4" w:space="0" w:color="auto"/>
            </w:tcBorders>
            <w:vAlign w:val="center"/>
          </w:tcPr>
          <w:p w:rsidR="00AD63B6" w:rsidRDefault="00AD63B6">
            <w:pPr>
              <w:spacing w:line="320" w:lineRule="exact"/>
              <w:jc w:val="center"/>
              <w:rPr>
                <w:rFonts w:ascii="宋体" w:hAnsi="宋体"/>
                <w:sz w:val="24"/>
              </w:rPr>
            </w:pPr>
          </w:p>
        </w:tc>
        <w:tc>
          <w:tcPr>
            <w:tcW w:w="1796" w:type="dxa"/>
            <w:gridSpan w:val="8"/>
            <w:tcBorders>
              <w:left w:val="single" w:sz="4" w:space="0" w:color="auto"/>
              <w:right w:val="single" w:sz="4" w:space="0" w:color="auto"/>
            </w:tcBorders>
            <w:vAlign w:val="center"/>
          </w:tcPr>
          <w:p w:rsidR="00AD63B6" w:rsidRDefault="00953203">
            <w:pPr>
              <w:spacing w:line="320" w:lineRule="exact"/>
              <w:jc w:val="left"/>
              <w:rPr>
                <w:rFonts w:ascii="宋体" w:hAnsi="宋体"/>
                <w:sz w:val="24"/>
              </w:rPr>
            </w:pPr>
            <w:r>
              <w:rPr>
                <w:rFonts w:ascii="宋体" w:hAnsi="宋体" w:hint="eastAsia"/>
                <w:sz w:val="24"/>
              </w:rPr>
              <w:t>跨境融资风险加权余额上限</w:t>
            </w:r>
          </w:p>
        </w:tc>
        <w:tc>
          <w:tcPr>
            <w:tcW w:w="2694" w:type="dxa"/>
            <w:gridSpan w:val="2"/>
            <w:tcBorders>
              <w:left w:val="single" w:sz="4" w:space="0" w:color="auto"/>
            </w:tcBorders>
            <w:vAlign w:val="center"/>
          </w:tcPr>
          <w:p w:rsidR="00AD63B6" w:rsidRDefault="00AD63B6">
            <w:pPr>
              <w:spacing w:line="320" w:lineRule="exact"/>
              <w:jc w:val="center"/>
              <w:rPr>
                <w:rFonts w:ascii="宋体" w:hAnsi="宋体"/>
                <w:sz w:val="24"/>
              </w:rPr>
            </w:pPr>
          </w:p>
        </w:tc>
      </w:tr>
      <w:tr w:rsidR="00AD63B6">
        <w:trPr>
          <w:cantSplit/>
          <w:trHeight w:val="564"/>
        </w:trPr>
        <w:tc>
          <w:tcPr>
            <w:tcW w:w="8472" w:type="dxa"/>
            <w:gridSpan w:val="20"/>
            <w:vAlign w:val="center"/>
          </w:tcPr>
          <w:p w:rsidR="00AD63B6" w:rsidRDefault="00953203">
            <w:pPr>
              <w:spacing w:line="320" w:lineRule="exact"/>
              <w:jc w:val="left"/>
              <w:rPr>
                <w:rFonts w:ascii="宋体" w:hAnsi="宋体"/>
                <w:b/>
                <w:sz w:val="24"/>
              </w:rPr>
            </w:pPr>
            <w:r>
              <w:rPr>
                <w:rFonts w:ascii="宋体" w:hAnsi="宋体" w:hint="eastAsia"/>
                <w:b/>
                <w:sz w:val="24"/>
              </w:rPr>
              <w:t>跨境融资风险加权余额</w:t>
            </w:r>
            <w:r>
              <w:rPr>
                <w:rFonts w:ascii="宋体" w:hAnsi="宋体"/>
                <w:b/>
                <w:sz w:val="24"/>
              </w:rPr>
              <w:t>（单位：万元人民币）</w:t>
            </w:r>
          </w:p>
        </w:tc>
      </w:tr>
      <w:tr w:rsidR="00AD63B6">
        <w:trPr>
          <w:cantSplit/>
          <w:trHeight w:val="502"/>
        </w:trPr>
        <w:tc>
          <w:tcPr>
            <w:tcW w:w="2257" w:type="dxa"/>
            <w:gridSpan w:val="5"/>
            <w:tcBorders>
              <w:tl2br w:val="single" w:sz="4" w:space="0" w:color="auto"/>
            </w:tcBorders>
            <w:vAlign w:val="center"/>
          </w:tcPr>
          <w:p w:rsidR="00AD63B6" w:rsidRDefault="00AD63B6">
            <w:pPr>
              <w:keepNext/>
              <w:keepLines/>
              <w:spacing w:line="320" w:lineRule="exact"/>
              <w:jc w:val="center"/>
              <w:outlineLvl w:val="0"/>
              <w:rPr>
                <w:rFonts w:ascii="宋体" w:hAnsi="宋体"/>
                <w:sz w:val="24"/>
              </w:rPr>
            </w:pPr>
          </w:p>
        </w:tc>
        <w:tc>
          <w:tcPr>
            <w:tcW w:w="1840" w:type="dxa"/>
            <w:gridSpan w:val="7"/>
            <w:vAlign w:val="center"/>
          </w:tcPr>
          <w:p w:rsidR="00AD63B6" w:rsidRDefault="00953203">
            <w:pPr>
              <w:spacing w:line="240" w:lineRule="exact"/>
              <w:jc w:val="center"/>
              <w:rPr>
                <w:rFonts w:ascii="宋体" w:hAnsi="宋体"/>
                <w:sz w:val="24"/>
              </w:rPr>
            </w:pPr>
            <w:r>
              <w:rPr>
                <w:rFonts w:ascii="宋体" w:hAnsi="宋体" w:hint="eastAsia"/>
                <w:sz w:val="24"/>
              </w:rPr>
              <w:t>中长期</w:t>
            </w:r>
          </w:p>
        </w:tc>
        <w:tc>
          <w:tcPr>
            <w:tcW w:w="1656" w:type="dxa"/>
            <w:gridSpan w:val="5"/>
            <w:vAlign w:val="center"/>
          </w:tcPr>
          <w:p w:rsidR="00AD63B6" w:rsidRDefault="00953203">
            <w:pPr>
              <w:spacing w:line="240" w:lineRule="exact"/>
              <w:jc w:val="center"/>
              <w:rPr>
                <w:rFonts w:ascii="宋体" w:hAnsi="宋体"/>
                <w:sz w:val="24"/>
              </w:rPr>
            </w:pPr>
            <w:r>
              <w:rPr>
                <w:rFonts w:ascii="宋体" w:hAnsi="宋体" w:hint="eastAsia"/>
                <w:sz w:val="24"/>
              </w:rPr>
              <w:t>短期</w:t>
            </w:r>
          </w:p>
        </w:tc>
        <w:tc>
          <w:tcPr>
            <w:tcW w:w="2719" w:type="dxa"/>
            <w:gridSpan w:val="3"/>
            <w:vAlign w:val="center"/>
          </w:tcPr>
          <w:p w:rsidR="00AD63B6" w:rsidRDefault="00953203">
            <w:pPr>
              <w:jc w:val="center"/>
              <w:rPr>
                <w:rFonts w:ascii="宋体" w:hAnsi="宋体"/>
              </w:rPr>
            </w:pPr>
            <w:r>
              <w:rPr>
                <w:rFonts w:ascii="宋体" w:hAnsi="宋体" w:hint="eastAsia"/>
                <w:sz w:val="24"/>
              </w:rPr>
              <w:t>外币余额折人民币金额</w:t>
            </w:r>
          </w:p>
        </w:tc>
      </w:tr>
      <w:tr w:rsidR="00AD63B6">
        <w:trPr>
          <w:cantSplit/>
          <w:trHeight w:val="663"/>
        </w:trPr>
        <w:tc>
          <w:tcPr>
            <w:tcW w:w="2257" w:type="dxa"/>
            <w:gridSpan w:val="5"/>
            <w:vAlign w:val="center"/>
          </w:tcPr>
          <w:p w:rsidR="00AD63B6" w:rsidRDefault="00953203">
            <w:pPr>
              <w:spacing w:line="320" w:lineRule="exact"/>
              <w:jc w:val="left"/>
              <w:rPr>
                <w:rFonts w:ascii="宋体" w:hAnsi="宋体"/>
                <w:sz w:val="24"/>
              </w:rPr>
            </w:pPr>
            <w:r>
              <w:rPr>
                <w:rFonts w:ascii="宋体" w:hAnsi="宋体" w:hint="eastAsia"/>
                <w:sz w:val="24"/>
              </w:rPr>
              <w:t>现有跨境融资余额</w:t>
            </w:r>
          </w:p>
        </w:tc>
        <w:tc>
          <w:tcPr>
            <w:tcW w:w="1840" w:type="dxa"/>
            <w:gridSpan w:val="7"/>
            <w:vAlign w:val="center"/>
          </w:tcPr>
          <w:p w:rsidR="00AD63B6" w:rsidRDefault="00AD63B6">
            <w:pPr>
              <w:spacing w:line="320" w:lineRule="exact"/>
              <w:jc w:val="center"/>
              <w:rPr>
                <w:rFonts w:ascii="宋体" w:hAnsi="宋体"/>
                <w:sz w:val="24"/>
              </w:rPr>
            </w:pPr>
          </w:p>
        </w:tc>
        <w:tc>
          <w:tcPr>
            <w:tcW w:w="1656" w:type="dxa"/>
            <w:gridSpan w:val="5"/>
            <w:vAlign w:val="center"/>
          </w:tcPr>
          <w:p w:rsidR="00AD63B6" w:rsidRDefault="00AD63B6">
            <w:pPr>
              <w:spacing w:line="320" w:lineRule="exact"/>
              <w:jc w:val="center"/>
              <w:rPr>
                <w:rFonts w:ascii="宋体" w:hAnsi="宋体"/>
                <w:sz w:val="24"/>
              </w:rPr>
            </w:pPr>
          </w:p>
        </w:tc>
        <w:tc>
          <w:tcPr>
            <w:tcW w:w="2719" w:type="dxa"/>
            <w:gridSpan w:val="3"/>
            <w:vAlign w:val="center"/>
          </w:tcPr>
          <w:p w:rsidR="00AD63B6" w:rsidRDefault="00AD63B6">
            <w:pPr>
              <w:spacing w:line="320" w:lineRule="exact"/>
              <w:jc w:val="center"/>
              <w:rPr>
                <w:rFonts w:ascii="宋体" w:hAnsi="宋体"/>
                <w:sz w:val="24"/>
              </w:rPr>
            </w:pPr>
          </w:p>
        </w:tc>
      </w:tr>
      <w:tr w:rsidR="00AD63B6">
        <w:trPr>
          <w:cantSplit/>
          <w:trHeight w:val="663"/>
        </w:trPr>
        <w:tc>
          <w:tcPr>
            <w:tcW w:w="2257" w:type="dxa"/>
            <w:gridSpan w:val="5"/>
            <w:vAlign w:val="center"/>
          </w:tcPr>
          <w:p w:rsidR="00AD63B6" w:rsidRDefault="00953203">
            <w:pPr>
              <w:spacing w:line="320" w:lineRule="exact"/>
              <w:jc w:val="left"/>
              <w:rPr>
                <w:rFonts w:ascii="宋体" w:hAnsi="宋体"/>
                <w:sz w:val="24"/>
              </w:rPr>
            </w:pPr>
            <w:r>
              <w:rPr>
                <w:rFonts w:ascii="宋体" w:hAnsi="宋体" w:hint="eastAsia"/>
                <w:sz w:val="24"/>
              </w:rPr>
              <w:t>本笔跨境融资签约额</w:t>
            </w:r>
          </w:p>
        </w:tc>
        <w:tc>
          <w:tcPr>
            <w:tcW w:w="1840" w:type="dxa"/>
            <w:gridSpan w:val="7"/>
            <w:vAlign w:val="center"/>
          </w:tcPr>
          <w:p w:rsidR="00AD63B6" w:rsidRDefault="00AD63B6">
            <w:pPr>
              <w:spacing w:line="320" w:lineRule="exact"/>
              <w:jc w:val="center"/>
              <w:rPr>
                <w:rFonts w:ascii="宋体" w:hAnsi="宋体"/>
                <w:sz w:val="24"/>
              </w:rPr>
            </w:pPr>
          </w:p>
        </w:tc>
        <w:tc>
          <w:tcPr>
            <w:tcW w:w="1656" w:type="dxa"/>
            <w:gridSpan w:val="5"/>
            <w:vAlign w:val="center"/>
          </w:tcPr>
          <w:p w:rsidR="00AD63B6" w:rsidRDefault="00AD63B6">
            <w:pPr>
              <w:spacing w:line="320" w:lineRule="exact"/>
              <w:jc w:val="center"/>
              <w:rPr>
                <w:rFonts w:ascii="宋体" w:hAnsi="宋体"/>
                <w:sz w:val="24"/>
              </w:rPr>
            </w:pPr>
          </w:p>
        </w:tc>
        <w:tc>
          <w:tcPr>
            <w:tcW w:w="2719" w:type="dxa"/>
            <w:gridSpan w:val="3"/>
            <w:vAlign w:val="center"/>
          </w:tcPr>
          <w:p w:rsidR="00AD63B6" w:rsidRDefault="00AD63B6">
            <w:pPr>
              <w:spacing w:line="320" w:lineRule="exact"/>
              <w:jc w:val="center"/>
              <w:rPr>
                <w:rFonts w:ascii="宋体" w:hAnsi="宋体"/>
                <w:sz w:val="24"/>
              </w:rPr>
            </w:pPr>
          </w:p>
        </w:tc>
      </w:tr>
      <w:tr w:rsidR="00AD63B6">
        <w:trPr>
          <w:cantSplit/>
          <w:trHeight w:val="684"/>
        </w:trPr>
        <w:tc>
          <w:tcPr>
            <w:tcW w:w="701" w:type="dxa"/>
            <w:vMerge w:val="restart"/>
            <w:vAlign w:val="center"/>
          </w:tcPr>
          <w:p w:rsidR="00AD63B6" w:rsidRDefault="00953203">
            <w:pPr>
              <w:spacing w:line="320" w:lineRule="exact"/>
              <w:jc w:val="center"/>
              <w:rPr>
                <w:rFonts w:ascii="宋体" w:hAnsi="宋体"/>
                <w:sz w:val="24"/>
              </w:rPr>
            </w:pPr>
            <w:r>
              <w:rPr>
                <w:rFonts w:ascii="宋体" w:hAnsi="宋体" w:hint="eastAsia"/>
                <w:sz w:val="24"/>
              </w:rPr>
              <w:t>不纳入计算的业务类型</w:t>
            </w:r>
          </w:p>
        </w:tc>
        <w:tc>
          <w:tcPr>
            <w:tcW w:w="1556" w:type="dxa"/>
            <w:gridSpan w:val="4"/>
            <w:tcBorders>
              <w:tl2br w:val="single" w:sz="4" w:space="0" w:color="auto"/>
            </w:tcBorders>
            <w:vAlign w:val="center"/>
          </w:tcPr>
          <w:p w:rsidR="00AD63B6" w:rsidRDefault="00AD63B6">
            <w:pPr>
              <w:keepNext/>
              <w:keepLines/>
              <w:spacing w:line="320" w:lineRule="exact"/>
              <w:jc w:val="center"/>
              <w:outlineLvl w:val="0"/>
              <w:rPr>
                <w:rFonts w:ascii="宋体" w:hAnsi="宋体"/>
                <w:sz w:val="24"/>
              </w:rPr>
            </w:pPr>
          </w:p>
        </w:tc>
        <w:tc>
          <w:tcPr>
            <w:tcW w:w="1840" w:type="dxa"/>
            <w:gridSpan w:val="7"/>
            <w:vAlign w:val="center"/>
          </w:tcPr>
          <w:p w:rsidR="00AD63B6" w:rsidRDefault="00953203">
            <w:pPr>
              <w:spacing w:line="240" w:lineRule="exact"/>
              <w:jc w:val="center"/>
              <w:rPr>
                <w:rFonts w:ascii="宋体" w:hAnsi="宋体"/>
                <w:sz w:val="24"/>
              </w:rPr>
            </w:pPr>
            <w:r>
              <w:rPr>
                <w:rFonts w:ascii="宋体" w:hAnsi="宋体" w:hint="eastAsia"/>
                <w:sz w:val="24"/>
              </w:rPr>
              <w:t>中长期余额</w:t>
            </w:r>
          </w:p>
        </w:tc>
        <w:tc>
          <w:tcPr>
            <w:tcW w:w="1656" w:type="dxa"/>
            <w:gridSpan w:val="5"/>
            <w:vAlign w:val="center"/>
          </w:tcPr>
          <w:p w:rsidR="00AD63B6" w:rsidRDefault="00953203">
            <w:pPr>
              <w:spacing w:line="240" w:lineRule="exact"/>
              <w:jc w:val="center"/>
              <w:rPr>
                <w:rFonts w:ascii="宋体" w:hAnsi="宋体"/>
                <w:sz w:val="24"/>
              </w:rPr>
            </w:pPr>
            <w:r>
              <w:rPr>
                <w:rFonts w:ascii="宋体" w:hAnsi="宋体" w:hint="eastAsia"/>
                <w:sz w:val="24"/>
              </w:rPr>
              <w:t>短期余额</w:t>
            </w:r>
          </w:p>
        </w:tc>
        <w:tc>
          <w:tcPr>
            <w:tcW w:w="2719" w:type="dxa"/>
            <w:gridSpan w:val="3"/>
            <w:vAlign w:val="center"/>
          </w:tcPr>
          <w:p w:rsidR="00AD63B6" w:rsidRDefault="00953203">
            <w:pPr>
              <w:jc w:val="center"/>
              <w:rPr>
                <w:rFonts w:ascii="宋体" w:hAnsi="宋体"/>
              </w:rPr>
            </w:pPr>
            <w:r>
              <w:rPr>
                <w:rFonts w:ascii="宋体" w:hAnsi="宋体" w:hint="eastAsia"/>
                <w:sz w:val="24"/>
              </w:rPr>
              <w:t>外币余额折人民币金额</w:t>
            </w:r>
          </w:p>
        </w:tc>
      </w:tr>
      <w:tr w:rsidR="00AD63B6">
        <w:trPr>
          <w:cantSplit/>
          <w:trHeight w:val="411"/>
        </w:trPr>
        <w:tc>
          <w:tcPr>
            <w:tcW w:w="701" w:type="dxa"/>
            <w:vMerge/>
            <w:vAlign w:val="center"/>
          </w:tcPr>
          <w:p w:rsidR="00AD63B6" w:rsidRDefault="00AD63B6">
            <w:pPr>
              <w:keepNext/>
              <w:keepLines/>
              <w:spacing w:line="320" w:lineRule="exact"/>
              <w:jc w:val="center"/>
              <w:outlineLvl w:val="0"/>
              <w:rPr>
                <w:rFonts w:ascii="宋体" w:hAnsi="宋体"/>
                <w:sz w:val="24"/>
              </w:rPr>
            </w:pPr>
          </w:p>
        </w:tc>
        <w:tc>
          <w:tcPr>
            <w:tcW w:w="1556" w:type="dxa"/>
            <w:gridSpan w:val="4"/>
            <w:vAlign w:val="center"/>
          </w:tcPr>
          <w:p w:rsidR="00AD63B6" w:rsidRDefault="00953203">
            <w:pPr>
              <w:spacing w:line="320" w:lineRule="exact"/>
              <w:jc w:val="center"/>
              <w:rPr>
                <w:rFonts w:ascii="宋体" w:hAnsi="宋体"/>
                <w:sz w:val="24"/>
              </w:rPr>
            </w:pPr>
            <w:r>
              <w:rPr>
                <w:rFonts w:ascii="宋体" w:hAnsi="宋体" w:hint="eastAsia"/>
                <w:sz w:val="24"/>
              </w:rPr>
              <w:t>熊猫债</w:t>
            </w:r>
          </w:p>
        </w:tc>
        <w:tc>
          <w:tcPr>
            <w:tcW w:w="1840" w:type="dxa"/>
            <w:gridSpan w:val="7"/>
            <w:vAlign w:val="center"/>
          </w:tcPr>
          <w:p w:rsidR="00AD63B6" w:rsidRDefault="00AD63B6">
            <w:pPr>
              <w:keepNext/>
              <w:keepLines/>
              <w:spacing w:line="320" w:lineRule="exact"/>
              <w:jc w:val="center"/>
              <w:outlineLvl w:val="0"/>
              <w:rPr>
                <w:rFonts w:ascii="宋体" w:hAnsi="宋体"/>
                <w:sz w:val="24"/>
              </w:rPr>
            </w:pPr>
          </w:p>
        </w:tc>
        <w:tc>
          <w:tcPr>
            <w:tcW w:w="1656" w:type="dxa"/>
            <w:gridSpan w:val="5"/>
            <w:vAlign w:val="center"/>
          </w:tcPr>
          <w:p w:rsidR="00AD63B6" w:rsidRDefault="00AD63B6">
            <w:pPr>
              <w:keepNext/>
              <w:keepLines/>
              <w:spacing w:line="320" w:lineRule="exact"/>
              <w:jc w:val="center"/>
              <w:outlineLvl w:val="0"/>
              <w:rPr>
                <w:rFonts w:ascii="宋体" w:hAnsi="宋体"/>
                <w:sz w:val="24"/>
              </w:rPr>
            </w:pPr>
          </w:p>
        </w:tc>
        <w:tc>
          <w:tcPr>
            <w:tcW w:w="2719" w:type="dxa"/>
            <w:gridSpan w:val="3"/>
            <w:vAlign w:val="center"/>
          </w:tcPr>
          <w:p w:rsidR="00AD63B6" w:rsidRDefault="00AD63B6">
            <w:pPr>
              <w:keepNext/>
              <w:keepLines/>
              <w:spacing w:line="320" w:lineRule="exact"/>
              <w:jc w:val="center"/>
              <w:outlineLvl w:val="0"/>
              <w:rPr>
                <w:rFonts w:ascii="宋体" w:hAnsi="宋体"/>
                <w:sz w:val="24"/>
              </w:rPr>
            </w:pPr>
          </w:p>
        </w:tc>
      </w:tr>
      <w:tr w:rsidR="00AD63B6">
        <w:trPr>
          <w:cantSplit/>
          <w:trHeight w:val="416"/>
        </w:trPr>
        <w:tc>
          <w:tcPr>
            <w:tcW w:w="701" w:type="dxa"/>
            <w:vMerge/>
            <w:vAlign w:val="center"/>
          </w:tcPr>
          <w:p w:rsidR="00AD63B6" w:rsidRDefault="00AD63B6">
            <w:pPr>
              <w:keepNext/>
              <w:keepLines/>
              <w:spacing w:line="320" w:lineRule="exact"/>
              <w:jc w:val="center"/>
              <w:outlineLvl w:val="0"/>
              <w:rPr>
                <w:rFonts w:ascii="宋体" w:hAnsi="宋体"/>
                <w:sz w:val="24"/>
              </w:rPr>
            </w:pPr>
          </w:p>
        </w:tc>
        <w:tc>
          <w:tcPr>
            <w:tcW w:w="1556" w:type="dxa"/>
            <w:gridSpan w:val="4"/>
            <w:vAlign w:val="center"/>
          </w:tcPr>
          <w:p w:rsidR="00AD63B6" w:rsidRDefault="00AD63B6">
            <w:pPr>
              <w:keepNext/>
              <w:keepLines/>
              <w:spacing w:line="320" w:lineRule="exact"/>
              <w:jc w:val="center"/>
              <w:outlineLvl w:val="0"/>
              <w:rPr>
                <w:rFonts w:ascii="宋体" w:hAnsi="宋体"/>
                <w:sz w:val="24"/>
              </w:rPr>
            </w:pPr>
          </w:p>
        </w:tc>
        <w:tc>
          <w:tcPr>
            <w:tcW w:w="1840" w:type="dxa"/>
            <w:gridSpan w:val="7"/>
            <w:vAlign w:val="center"/>
          </w:tcPr>
          <w:p w:rsidR="00AD63B6" w:rsidRDefault="00AD63B6">
            <w:pPr>
              <w:keepNext/>
              <w:keepLines/>
              <w:spacing w:line="320" w:lineRule="exact"/>
              <w:jc w:val="center"/>
              <w:outlineLvl w:val="0"/>
              <w:rPr>
                <w:rFonts w:ascii="宋体" w:hAnsi="宋体"/>
                <w:sz w:val="24"/>
              </w:rPr>
            </w:pPr>
          </w:p>
        </w:tc>
        <w:tc>
          <w:tcPr>
            <w:tcW w:w="1656" w:type="dxa"/>
            <w:gridSpan w:val="5"/>
            <w:vAlign w:val="center"/>
          </w:tcPr>
          <w:p w:rsidR="00AD63B6" w:rsidRDefault="00AD63B6">
            <w:pPr>
              <w:keepNext/>
              <w:keepLines/>
              <w:spacing w:line="320" w:lineRule="exact"/>
              <w:jc w:val="center"/>
              <w:outlineLvl w:val="0"/>
              <w:rPr>
                <w:rFonts w:ascii="宋体" w:hAnsi="宋体"/>
                <w:sz w:val="24"/>
              </w:rPr>
            </w:pPr>
          </w:p>
        </w:tc>
        <w:tc>
          <w:tcPr>
            <w:tcW w:w="2719" w:type="dxa"/>
            <w:gridSpan w:val="3"/>
            <w:vAlign w:val="center"/>
          </w:tcPr>
          <w:p w:rsidR="00AD63B6" w:rsidRDefault="00AD63B6">
            <w:pPr>
              <w:keepNext/>
              <w:keepLines/>
              <w:spacing w:line="320" w:lineRule="exact"/>
              <w:jc w:val="center"/>
              <w:outlineLvl w:val="0"/>
              <w:rPr>
                <w:rFonts w:ascii="宋体" w:hAnsi="宋体"/>
                <w:sz w:val="24"/>
              </w:rPr>
            </w:pPr>
          </w:p>
        </w:tc>
      </w:tr>
      <w:tr w:rsidR="00AD63B6">
        <w:trPr>
          <w:cantSplit/>
          <w:trHeight w:val="409"/>
        </w:trPr>
        <w:tc>
          <w:tcPr>
            <w:tcW w:w="701" w:type="dxa"/>
            <w:vMerge/>
            <w:vAlign w:val="center"/>
          </w:tcPr>
          <w:p w:rsidR="00AD63B6" w:rsidRDefault="00AD63B6">
            <w:pPr>
              <w:keepNext/>
              <w:keepLines/>
              <w:spacing w:line="320" w:lineRule="exact"/>
              <w:jc w:val="center"/>
              <w:outlineLvl w:val="0"/>
              <w:rPr>
                <w:rFonts w:ascii="宋体" w:hAnsi="宋体"/>
                <w:sz w:val="24"/>
              </w:rPr>
            </w:pPr>
          </w:p>
        </w:tc>
        <w:tc>
          <w:tcPr>
            <w:tcW w:w="1556" w:type="dxa"/>
            <w:gridSpan w:val="4"/>
            <w:vAlign w:val="center"/>
          </w:tcPr>
          <w:p w:rsidR="00AD63B6" w:rsidRDefault="00AD63B6">
            <w:pPr>
              <w:keepNext/>
              <w:keepLines/>
              <w:spacing w:line="320" w:lineRule="exact"/>
              <w:jc w:val="center"/>
              <w:outlineLvl w:val="0"/>
              <w:rPr>
                <w:rFonts w:ascii="宋体" w:hAnsi="宋体"/>
                <w:sz w:val="24"/>
              </w:rPr>
            </w:pPr>
          </w:p>
        </w:tc>
        <w:tc>
          <w:tcPr>
            <w:tcW w:w="1840" w:type="dxa"/>
            <w:gridSpan w:val="7"/>
            <w:vAlign w:val="center"/>
          </w:tcPr>
          <w:p w:rsidR="00AD63B6" w:rsidRDefault="00AD63B6">
            <w:pPr>
              <w:keepNext/>
              <w:keepLines/>
              <w:spacing w:line="320" w:lineRule="exact"/>
              <w:jc w:val="center"/>
              <w:outlineLvl w:val="0"/>
              <w:rPr>
                <w:rFonts w:ascii="宋体" w:hAnsi="宋体"/>
                <w:sz w:val="24"/>
              </w:rPr>
            </w:pPr>
          </w:p>
        </w:tc>
        <w:tc>
          <w:tcPr>
            <w:tcW w:w="1656" w:type="dxa"/>
            <w:gridSpan w:val="5"/>
            <w:vAlign w:val="center"/>
          </w:tcPr>
          <w:p w:rsidR="00AD63B6" w:rsidRDefault="00AD63B6">
            <w:pPr>
              <w:keepNext/>
              <w:keepLines/>
              <w:spacing w:line="320" w:lineRule="exact"/>
              <w:jc w:val="center"/>
              <w:outlineLvl w:val="0"/>
              <w:rPr>
                <w:rFonts w:ascii="宋体" w:hAnsi="宋体"/>
                <w:sz w:val="24"/>
              </w:rPr>
            </w:pPr>
          </w:p>
        </w:tc>
        <w:tc>
          <w:tcPr>
            <w:tcW w:w="2719" w:type="dxa"/>
            <w:gridSpan w:val="3"/>
            <w:vAlign w:val="center"/>
          </w:tcPr>
          <w:p w:rsidR="00AD63B6" w:rsidRDefault="00AD63B6">
            <w:pPr>
              <w:keepNext/>
              <w:keepLines/>
              <w:spacing w:line="320" w:lineRule="exact"/>
              <w:jc w:val="center"/>
              <w:outlineLvl w:val="0"/>
              <w:rPr>
                <w:rFonts w:ascii="宋体" w:hAnsi="宋体"/>
                <w:sz w:val="24"/>
              </w:rPr>
            </w:pPr>
          </w:p>
        </w:tc>
      </w:tr>
      <w:tr w:rsidR="00AD63B6">
        <w:trPr>
          <w:cantSplit/>
          <w:trHeight w:val="568"/>
        </w:trPr>
        <w:tc>
          <w:tcPr>
            <w:tcW w:w="2257" w:type="dxa"/>
            <w:gridSpan w:val="5"/>
            <w:vAlign w:val="center"/>
          </w:tcPr>
          <w:p w:rsidR="00AD63B6" w:rsidRDefault="00953203">
            <w:pPr>
              <w:spacing w:line="320" w:lineRule="exact"/>
              <w:jc w:val="center"/>
              <w:rPr>
                <w:rFonts w:ascii="宋体" w:hAnsi="宋体"/>
                <w:sz w:val="24"/>
              </w:rPr>
            </w:pPr>
            <w:r>
              <w:rPr>
                <w:rFonts w:ascii="宋体" w:hAnsi="宋体" w:hint="eastAsia"/>
                <w:sz w:val="24"/>
              </w:rPr>
              <w:t>纳入计算的余额</w:t>
            </w:r>
          </w:p>
        </w:tc>
        <w:tc>
          <w:tcPr>
            <w:tcW w:w="1840" w:type="dxa"/>
            <w:gridSpan w:val="7"/>
            <w:vAlign w:val="center"/>
          </w:tcPr>
          <w:p w:rsidR="00AD63B6" w:rsidRDefault="00AD63B6">
            <w:pPr>
              <w:keepNext/>
              <w:keepLines/>
              <w:spacing w:line="320" w:lineRule="exact"/>
              <w:jc w:val="center"/>
              <w:outlineLvl w:val="0"/>
              <w:rPr>
                <w:rFonts w:ascii="宋体" w:hAnsi="宋体"/>
                <w:sz w:val="24"/>
              </w:rPr>
            </w:pPr>
          </w:p>
        </w:tc>
        <w:tc>
          <w:tcPr>
            <w:tcW w:w="1656" w:type="dxa"/>
            <w:gridSpan w:val="5"/>
            <w:vAlign w:val="center"/>
          </w:tcPr>
          <w:p w:rsidR="00AD63B6" w:rsidRDefault="00AD63B6">
            <w:pPr>
              <w:keepNext/>
              <w:keepLines/>
              <w:spacing w:line="320" w:lineRule="exact"/>
              <w:jc w:val="center"/>
              <w:outlineLvl w:val="0"/>
              <w:rPr>
                <w:rFonts w:ascii="宋体" w:hAnsi="宋体"/>
                <w:sz w:val="24"/>
              </w:rPr>
            </w:pPr>
          </w:p>
        </w:tc>
        <w:tc>
          <w:tcPr>
            <w:tcW w:w="2719" w:type="dxa"/>
            <w:gridSpan w:val="3"/>
            <w:vAlign w:val="center"/>
          </w:tcPr>
          <w:p w:rsidR="00AD63B6" w:rsidRDefault="00AD63B6">
            <w:pPr>
              <w:keepNext/>
              <w:keepLines/>
              <w:spacing w:line="320" w:lineRule="exact"/>
              <w:jc w:val="center"/>
              <w:outlineLvl w:val="0"/>
              <w:rPr>
                <w:rFonts w:ascii="宋体" w:hAnsi="宋体"/>
                <w:sz w:val="24"/>
              </w:rPr>
            </w:pPr>
          </w:p>
        </w:tc>
      </w:tr>
      <w:tr w:rsidR="00AD63B6">
        <w:trPr>
          <w:cantSplit/>
          <w:trHeight w:val="704"/>
        </w:trPr>
        <w:tc>
          <w:tcPr>
            <w:tcW w:w="2257" w:type="dxa"/>
            <w:gridSpan w:val="5"/>
            <w:vAlign w:val="center"/>
          </w:tcPr>
          <w:p w:rsidR="00AD63B6" w:rsidRDefault="00953203">
            <w:pPr>
              <w:spacing w:line="320" w:lineRule="exact"/>
              <w:jc w:val="center"/>
              <w:rPr>
                <w:rFonts w:ascii="宋体" w:hAnsi="宋体"/>
                <w:sz w:val="24"/>
              </w:rPr>
            </w:pPr>
            <w:r>
              <w:rPr>
                <w:rFonts w:ascii="宋体" w:hAnsi="宋体" w:hint="eastAsia"/>
                <w:sz w:val="24"/>
              </w:rPr>
              <w:t>跨境融资风险加权余额</w:t>
            </w:r>
          </w:p>
        </w:tc>
        <w:tc>
          <w:tcPr>
            <w:tcW w:w="6215" w:type="dxa"/>
            <w:gridSpan w:val="15"/>
            <w:vAlign w:val="center"/>
          </w:tcPr>
          <w:p w:rsidR="00AD63B6" w:rsidRDefault="00AD63B6">
            <w:pPr>
              <w:keepNext/>
              <w:keepLines/>
              <w:spacing w:line="320" w:lineRule="exact"/>
              <w:jc w:val="center"/>
              <w:outlineLvl w:val="0"/>
              <w:rPr>
                <w:rFonts w:ascii="宋体" w:hAnsi="宋体"/>
                <w:sz w:val="24"/>
              </w:rPr>
            </w:pPr>
          </w:p>
        </w:tc>
      </w:tr>
      <w:tr w:rsidR="00AD63B6">
        <w:trPr>
          <w:trHeight w:val="668"/>
        </w:trPr>
        <w:tc>
          <w:tcPr>
            <w:tcW w:w="3205" w:type="dxa"/>
            <w:gridSpan w:val="6"/>
            <w:vAlign w:val="center"/>
          </w:tcPr>
          <w:p w:rsidR="00AD63B6" w:rsidRDefault="00953203">
            <w:pPr>
              <w:spacing w:line="320" w:lineRule="exact"/>
              <w:jc w:val="left"/>
              <w:rPr>
                <w:rFonts w:ascii="宋体" w:hAnsi="宋体"/>
                <w:sz w:val="24"/>
              </w:rPr>
            </w:pPr>
            <w:r>
              <w:rPr>
                <w:rFonts w:ascii="宋体" w:hAnsi="宋体" w:hint="eastAsia"/>
                <w:sz w:val="24"/>
              </w:rPr>
              <w:t>跨境融资风险加权余额上限与跨境融资风险加权余额之差额</w:t>
            </w:r>
          </w:p>
        </w:tc>
        <w:tc>
          <w:tcPr>
            <w:tcW w:w="1840" w:type="dxa"/>
            <w:gridSpan w:val="7"/>
            <w:vAlign w:val="center"/>
          </w:tcPr>
          <w:p w:rsidR="00AD63B6" w:rsidRDefault="00AD63B6">
            <w:pPr>
              <w:spacing w:line="320" w:lineRule="exact"/>
              <w:ind w:firstLineChars="200" w:firstLine="480"/>
              <w:jc w:val="left"/>
              <w:rPr>
                <w:rFonts w:ascii="宋体" w:hAnsi="宋体"/>
                <w:sz w:val="24"/>
              </w:rPr>
            </w:pPr>
          </w:p>
        </w:tc>
        <w:tc>
          <w:tcPr>
            <w:tcW w:w="1633" w:type="dxa"/>
            <w:gridSpan w:val="6"/>
            <w:vAlign w:val="center"/>
          </w:tcPr>
          <w:p w:rsidR="00AD63B6" w:rsidRDefault="00953203">
            <w:pPr>
              <w:spacing w:line="320" w:lineRule="exact"/>
              <w:jc w:val="center"/>
              <w:rPr>
                <w:rFonts w:ascii="宋体" w:hAnsi="宋体"/>
                <w:sz w:val="24"/>
              </w:rPr>
            </w:pPr>
            <w:r>
              <w:rPr>
                <w:rFonts w:ascii="宋体" w:hAnsi="宋体" w:hint="eastAsia"/>
                <w:sz w:val="24"/>
              </w:rPr>
              <w:t>是否超上限</w:t>
            </w:r>
          </w:p>
        </w:tc>
        <w:tc>
          <w:tcPr>
            <w:tcW w:w="1794" w:type="dxa"/>
            <w:vAlign w:val="center"/>
          </w:tcPr>
          <w:p w:rsidR="00AD63B6" w:rsidRDefault="00953203">
            <w:pPr>
              <w:spacing w:line="320" w:lineRule="exact"/>
              <w:jc w:val="left"/>
              <w:rPr>
                <w:rFonts w:ascii="宋体" w:hAnsi="宋体"/>
                <w:sz w:val="24"/>
              </w:rPr>
            </w:pPr>
            <w:r>
              <w:rPr>
                <w:rFonts w:ascii="宋体" w:hAnsi="宋体" w:hint="eastAsia"/>
                <w:spacing w:val="-9"/>
                <w:sz w:val="18"/>
                <w:szCs w:val="18"/>
              </w:rPr>
              <w:t>□</w:t>
            </w:r>
            <w:r>
              <w:rPr>
                <w:rFonts w:ascii="宋体" w:hAnsi="宋体" w:hint="eastAsia"/>
                <w:sz w:val="24"/>
              </w:rPr>
              <w:t xml:space="preserve"> 是  </w:t>
            </w:r>
            <w:r>
              <w:rPr>
                <w:rFonts w:ascii="宋体" w:hAnsi="宋体" w:hint="eastAsia"/>
                <w:spacing w:val="-9"/>
                <w:sz w:val="18"/>
                <w:szCs w:val="18"/>
              </w:rPr>
              <w:t>□</w:t>
            </w:r>
            <w:r>
              <w:rPr>
                <w:rFonts w:ascii="宋体" w:hAnsi="宋体" w:hint="eastAsia"/>
                <w:sz w:val="24"/>
              </w:rPr>
              <w:t>否</w:t>
            </w:r>
          </w:p>
        </w:tc>
      </w:tr>
      <w:tr w:rsidR="00AD63B6">
        <w:trPr>
          <w:trHeight w:val="1023"/>
        </w:trPr>
        <w:tc>
          <w:tcPr>
            <w:tcW w:w="8472" w:type="dxa"/>
            <w:gridSpan w:val="20"/>
            <w:vAlign w:val="center"/>
          </w:tcPr>
          <w:p w:rsidR="00AD63B6" w:rsidRDefault="00953203">
            <w:pPr>
              <w:spacing w:line="320" w:lineRule="exact"/>
              <w:ind w:firstLineChars="200" w:firstLine="324"/>
              <w:jc w:val="left"/>
              <w:rPr>
                <w:rFonts w:ascii="宋体" w:hAnsi="宋体"/>
                <w:sz w:val="24"/>
              </w:rPr>
            </w:pPr>
            <w:r>
              <w:rPr>
                <w:rFonts w:ascii="宋体" w:hAnsi="宋体" w:hint="eastAsia"/>
                <w:spacing w:val="-9"/>
                <w:sz w:val="18"/>
                <w:szCs w:val="18"/>
              </w:rPr>
              <w:lastRenderedPageBreak/>
              <w:t xml:space="preserve">□ </w:t>
            </w:r>
            <w:r>
              <w:rPr>
                <w:rFonts w:ascii="宋体" w:hAnsi="宋体" w:hint="eastAsia"/>
                <w:sz w:val="24"/>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rsidR="00AD63B6" w:rsidRDefault="00953203">
            <w:pPr>
              <w:spacing w:line="320" w:lineRule="exact"/>
              <w:ind w:firstLineChars="200" w:firstLine="480"/>
              <w:jc w:val="left"/>
              <w:rPr>
                <w:rFonts w:ascii="宋体" w:hAnsi="宋体"/>
                <w:sz w:val="24"/>
              </w:rPr>
            </w:pPr>
            <w:r>
              <w:rPr>
                <w:rFonts w:ascii="宋体" w:hAnsi="宋体" w:hint="eastAsia"/>
                <w:sz w:val="24"/>
              </w:rPr>
              <w:t xml:space="preserve">                                  </w:t>
            </w:r>
          </w:p>
          <w:p w:rsidR="00AD63B6" w:rsidRDefault="00953203">
            <w:pPr>
              <w:spacing w:line="320" w:lineRule="exact"/>
              <w:ind w:firstLineChars="2700" w:firstLine="6480"/>
              <w:jc w:val="left"/>
              <w:rPr>
                <w:rFonts w:ascii="宋体" w:hAnsi="宋体"/>
                <w:sz w:val="24"/>
              </w:rPr>
            </w:pPr>
            <w:r>
              <w:rPr>
                <w:rFonts w:ascii="宋体" w:hAnsi="宋体" w:hint="eastAsia"/>
                <w:sz w:val="24"/>
              </w:rPr>
              <w:t>（公章）</w:t>
            </w:r>
          </w:p>
        </w:tc>
      </w:tr>
    </w:tbl>
    <w:p w:rsidR="00AD63B6" w:rsidRDefault="00953203">
      <w:pPr>
        <w:contextualSpacing/>
        <w:rPr>
          <w:rFonts w:ascii="宋体" w:hAnsi="宋体"/>
          <w:sz w:val="24"/>
        </w:rPr>
      </w:pPr>
      <w:r>
        <w:rPr>
          <w:rFonts w:ascii="宋体" w:hAnsi="宋体" w:hint="eastAsia"/>
          <w:sz w:val="24"/>
        </w:rPr>
        <w:t>联系人：             联系电话：               填表时间：   年   月   日</w:t>
      </w:r>
    </w:p>
    <w:p w:rsidR="00AD63B6" w:rsidRDefault="00953203">
      <w:pPr>
        <w:widowControl/>
        <w:jc w:val="left"/>
        <w:rPr>
          <w:rFonts w:ascii="宋体" w:hAnsi="宋体"/>
          <w:sz w:val="24"/>
        </w:rPr>
      </w:pPr>
      <w:r>
        <w:rPr>
          <w:rFonts w:ascii="宋体" w:hAnsi="宋体"/>
          <w:sz w:val="24"/>
        </w:rPr>
        <w:br w:type="page"/>
      </w:r>
    </w:p>
    <w:p w:rsidR="00AD63B6" w:rsidRDefault="00953203">
      <w:pPr>
        <w:widowControl/>
        <w:jc w:val="left"/>
        <w:rPr>
          <w:rFonts w:ascii="仿宋_GB2312" w:eastAsia="仿宋_GB2312" w:hAnsi="宋体"/>
          <w:b/>
          <w:sz w:val="28"/>
          <w:szCs w:val="28"/>
        </w:rPr>
      </w:pPr>
      <w:r>
        <w:rPr>
          <w:rFonts w:ascii="仿宋_GB2312" w:eastAsia="仿宋_GB2312" w:hAnsi="宋体" w:hint="eastAsia"/>
          <w:b/>
          <w:sz w:val="28"/>
          <w:szCs w:val="28"/>
        </w:rPr>
        <w:t>填表说明：</w:t>
      </w:r>
    </w:p>
    <w:p w:rsidR="00AD63B6" w:rsidRDefault="00953203">
      <w:pPr>
        <w:pStyle w:val="a4"/>
        <w:spacing w:line="360" w:lineRule="auto"/>
        <w:rPr>
          <w:rFonts w:ascii="宋体" w:hAnsi="宋体"/>
          <w:sz w:val="24"/>
          <w:szCs w:val="24"/>
        </w:rPr>
      </w:pPr>
      <w:r>
        <w:rPr>
          <w:rFonts w:ascii="宋体" w:hAnsi="宋体" w:hint="eastAsia"/>
          <w:sz w:val="24"/>
          <w:szCs w:val="24"/>
        </w:rPr>
        <w:t>1.外币跨境融资以签约日</w:t>
      </w:r>
      <w:r>
        <w:rPr>
          <w:rFonts w:ascii="宋体" w:hAnsi="宋体"/>
          <w:sz w:val="24"/>
          <w:szCs w:val="24"/>
        </w:rPr>
        <w:t>的汇率水平</w:t>
      </w:r>
      <w:r>
        <w:rPr>
          <w:rFonts w:ascii="宋体" w:hAnsi="宋体" w:hint="eastAsia"/>
          <w:sz w:val="24"/>
          <w:szCs w:val="24"/>
        </w:rPr>
        <w:t>折算。</w:t>
      </w:r>
    </w:p>
    <w:p w:rsidR="00AD63B6" w:rsidRDefault="00953203">
      <w:pPr>
        <w:widowControl/>
        <w:spacing w:line="360" w:lineRule="auto"/>
        <w:jc w:val="left"/>
        <w:rPr>
          <w:rFonts w:ascii="宋体" w:hAnsi="宋体"/>
          <w:sz w:val="24"/>
          <w:szCs w:val="24"/>
        </w:rPr>
      </w:pPr>
      <w:r>
        <w:rPr>
          <w:rFonts w:ascii="宋体" w:hAnsi="宋体" w:hint="eastAsia"/>
          <w:kern w:val="0"/>
          <w:sz w:val="24"/>
          <w:szCs w:val="24"/>
        </w:rPr>
        <w:t>2.“债</w:t>
      </w:r>
      <w:r>
        <w:rPr>
          <w:rFonts w:ascii="宋体" w:hAnsi="宋体" w:hint="eastAsia"/>
          <w:sz w:val="24"/>
          <w:szCs w:val="24"/>
        </w:rPr>
        <w:t>务人类型”请按以下分类填写：</w:t>
      </w:r>
      <w:r>
        <w:rPr>
          <w:rFonts w:ascii="宋体" w:hAnsi="宋体"/>
          <w:sz w:val="24"/>
          <w:szCs w:val="24"/>
        </w:rPr>
        <w:t>“国有企业”、“民营企业”、“其他中资企业”、“独资企业”、“合资企业”、“合作企业”</w:t>
      </w:r>
      <w:r>
        <w:rPr>
          <w:rFonts w:ascii="宋体" w:hAnsi="宋体" w:hint="eastAsia"/>
          <w:sz w:val="24"/>
          <w:szCs w:val="24"/>
        </w:rPr>
        <w:t>。</w:t>
      </w:r>
    </w:p>
    <w:p w:rsidR="00AD63B6" w:rsidRDefault="00953203">
      <w:pPr>
        <w:widowControl/>
        <w:spacing w:line="360" w:lineRule="auto"/>
        <w:jc w:val="left"/>
        <w:rPr>
          <w:rFonts w:ascii="宋体" w:hAnsi="宋体"/>
          <w:sz w:val="24"/>
          <w:szCs w:val="24"/>
        </w:rPr>
      </w:pPr>
      <w:r>
        <w:rPr>
          <w:rFonts w:ascii="宋体" w:hAnsi="宋体" w:hint="eastAsia"/>
          <w:sz w:val="24"/>
          <w:szCs w:val="24"/>
        </w:rPr>
        <w:t>3.“债务类型”请按以下分类填写：“从境外母公司贷款”、“从境外子公司贷款”、“从联</w:t>
      </w:r>
      <w:r>
        <w:rPr>
          <w:rFonts w:ascii="宋体" w:hAnsi="宋体"/>
          <w:sz w:val="24"/>
          <w:szCs w:val="24"/>
        </w:rPr>
        <w:t>属</w:t>
      </w:r>
      <w:r>
        <w:rPr>
          <w:rFonts w:ascii="宋体" w:hAnsi="宋体" w:hint="eastAsia"/>
          <w:sz w:val="24"/>
          <w:szCs w:val="24"/>
        </w:rPr>
        <w:t>企业贷款”、“非股东及非关联企业贷款”、“境外金融机构贷款”、“银团贷款”、“补偿贸易中需现汇偿还的债务”、“债券和票据”、</w:t>
      </w:r>
      <w:r>
        <w:rPr>
          <w:rFonts w:ascii="宋体" w:hAnsi="宋体"/>
          <w:sz w:val="24"/>
          <w:szCs w:val="24"/>
        </w:rPr>
        <w:t>“融资租赁”、</w:t>
      </w:r>
      <w:r>
        <w:rPr>
          <w:rFonts w:ascii="宋体" w:hAnsi="宋体" w:hint="eastAsia"/>
          <w:sz w:val="24"/>
          <w:szCs w:val="24"/>
        </w:rPr>
        <w:t>“其他贷款”。</w:t>
      </w:r>
    </w:p>
    <w:p w:rsidR="00AD63B6" w:rsidRDefault="00953203">
      <w:pPr>
        <w:widowControl/>
        <w:spacing w:line="360" w:lineRule="auto"/>
        <w:jc w:val="left"/>
        <w:rPr>
          <w:rFonts w:ascii="宋体" w:hAnsi="宋体"/>
          <w:sz w:val="24"/>
          <w:szCs w:val="24"/>
        </w:rPr>
      </w:pPr>
      <w:r>
        <w:rPr>
          <w:rFonts w:ascii="宋体" w:hAnsi="宋体" w:hint="eastAsia"/>
          <w:sz w:val="24"/>
          <w:szCs w:val="24"/>
        </w:rPr>
        <w:t>4.“豁免类型”仅“是否占用外债额度”选择为“否”时，需按以下分类填写：“自用熊猫债”、“其他豁免”。</w:t>
      </w:r>
    </w:p>
    <w:p w:rsidR="00AD63B6" w:rsidRDefault="00953203">
      <w:pPr>
        <w:widowControl/>
        <w:spacing w:line="360" w:lineRule="auto"/>
        <w:jc w:val="left"/>
        <w:rPr>
          <w:rFonts w:ascii="宋体" w:hAnsi="宋体"/>
          <w:sz w:val="24"/>
          <w:szCs w:val="24"/>
        </w:rPr>
      </w:pPr>
      <w:r>
        <w:rPr>
          <w:rFonts w:ascii="宋体" w:hAnsi="宋体" w:hint="eastAsia"/>
          <w:sz w:val="24"/>
          <w:szCs w:val="24"/>
        </w:rPr>
        <w:t>5.“内保外贷业务编号”及“调回金额占比‘%’”仅“是否内保外贷资金调回境内”选择为“是”时需填写。</w:t>
      </w:r>
    </w:p>
    <w:p w:rsidR="00AD63B6" w:rsidRDefault="00953203">
      <w:pPr>
        <w:pStyle w:val="a4"/>
        <w:spacing w:line="360" w:lineRule="auto"/>
        <w:rPr>
          <w:rFonts w:ascii="宋体" w:hAnsi="宋体"/>
          <w:sz w:val="24"/>
          <w:szCs w:val="24"/>
        </w:rPr>
      </w:pPr>
      <w:r>
        <w:rPr>
          <w:rFonts w:ascii="宋体" w:hAnsi="宋体" w:hint="eastAsia"/>
          <w:sz w:val="24"/>
          <w:szCs w:val="24"/>
        </w:rPr>
        <w:t>6.“净资产”根据债务人上年度或最近一期经审计的财务报告填写。</w:t>
      </w:r>
    </w:p>
    <w:p w:rsidR="00AD63B6" w:rsidRDefault="00953203">
      <w:pPr>
        <w:pStyle w:val="a4"/>
        <w:spacing w:line="360" w:lineRule="auto"/>
        <w:rPr>
          <w:rFonts w:ascii="宋体" w:hAns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跨境融资风险加权余额上限”=净资产×</w:t>
      </w:r>
      <w:r>
        <w:rPr>
          <w:rFonts w:ascii="宋体" w:hAnsi="宋体"/>
          <w:sz w:val="24"/>
          <w:szCs w:val="24"/>
        </w:rPr>
        <w:t>跨境融资</w:t>
      </w:r>
      <w:r>
        <w:rPr>
          <w:rFonts w:ascii="宋体" w:hAnsi="宋体" w:hint="eastAsia"/>
          <w:sz w:val="24"/>
          <w:szCs w:val="24"/>
        </w:rPr>
        <w:t>杠杆率×宏观审慎调节参数。</w:t>
      </w:r>
    </w:p>
    <w:p w:rsidR="00AD63B6" w:rsidRDefault="00953203">
      <w:pPr>
        <w:pStyle w:val="a4"/>
        <w:spacing w:line="360" w:lineRule="auto"/>
        <w:rPr>
          <w:rFonts w:ascii="宋体" w:hAnsi="宋体"/>
          <w:sz w:val="24"/>
          <w:szCs w:val="24"/>
        </w:rPr>
      </w:pPr>
      <w:r>
        <w:rPr>
          <w:rFonts w:ascii="宋体" w:hAnsi="宋体" w:hint="eastAsia"/>
          <w:sz w:val="24"/>
          <w:szCs w:val="24"/>
        </w:rPr>
        <w:t>8.</w:t>
      </w:r>
      <w:r>
        <w:rPr>
          <w:rFonts w:ascii="宋体" w:hAnsi="宋体"/>
          <w:sz w:val="24"/>
          <w:szCs w:val="24"/>
        </w:rPr>
        <w:t>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rsidR="00AD63B6" w:rsidRDefault="00953203">
      <w:pPr>
        <w:pStyle w:val="a4"/>
        <w:spacing w:line="360" w:lineRule="auto"/>
        <w:rPr>
          <w:rFonts w:ascii="宋体" w:hAnsi="宋体"/>
          <w:sz w:val="28"/>
          <w:szCs w:val="28"/>
        </w:rPr>
      </w:pPr>
      <w:r>
        <w:rPr>
          <w:rFonts w:ascii="宋体" w:hAnsi="宋体"/>
          <w:sz w:val="24"/>
          <w:szCs w:val="24"/>
        </w:rPr>
        <w:t>9</w:t>
      </w:r>
      <w:r>
        <w:rPr>
          <w:rFonts w:ascii="宋体" w:hAnsi="宋体" w:hint="eastAsia"/>
          <w:sz w:val="24"/>
          <w:szCs w:val="24"/>
        </w:rPr>
        <w:t>.跨境融资风险加权余额=</w:t>
      </w:r>
      <w:r>
        <w:rPr>
          <w:rFonts w:ascii="宋体" w:hAnsi="宋体" w:cs="宋体" w:hint="eastAsia"/>
          <w:sz w:val="24"/>
          <w:szCs w:val="24"/>
        </w:rPr>
        <w:t>∑</w:t>
      </w:r>
      <w:r>
        <w:rPr>
          <w:rFonts w:ascii="宋体" w:hAnsi="宋体"/>
          <w:sz w:val="24"/>
          <w:szCs w:val="24"/>
        </w:rPr>
        <w:t>本外币跨境融资</w:t>
      </w:r>
      <w:r>
        <w:rPr>
          <w:rFonts w:ascii="宋体" w:hAnsi="宋体" w:hint="eastAsia"/>
          <w:sz w:val="24"/>
          <w:szCs w:val="24"/>
        </w:rPr>
        <w:t>余额×期限风险转换因子+</w:t>
      </w:r>
      <w:r>
        <w:rPr>
          <w:rFonts w:ascii="宋体" w:hAnsi="宋体" w:cs="宋体" w:hint="eastAsia"/>
          <w:sz w:val="24"/>
          <w:szCs w:val="24"/>
        </w:rPr>
        <w:t>∑</w:t>
      </w:r>
      <w:r>
        <w:rPr>
          <w:rFonts w:ascii="宋体" w:hAnsi="宋体"/>
          <w:sz w:val="24"/>
          <w:szCs w:val="24"/>
        </w:rPr>
        <w:t>外币跨境融资</w:t>
      </w:r>
      <w:r>
        <w:rPr>
          <w:rFonts w:ascii="宋体" w:hAnsi="宋体" w:hint="eastAsia"/>
          <w:sz w:val="24"/>
          <w:szCs w:val="24"/>
        </w:rPr>
        <w:t>余额×汇率风险折算因子。</w:t>
      </w:r>
      <w:r>
        <w:rPr>
          <w:rFonts w:ascii="宋体" w:hAnsi="宋体"/>
          <w:sz w:val="24"/>
          <w:szCs w:val="24"/>
        </w:rPr>
        <w:t>期限风险转换因子按照签约期限确定</w:t>
      </w:r>
      <w:r>
        <w:rPr>
          <w:rFonts w:ascii="宋体" w:hAnsi="宋体" w:hint="eastAsia"/>
          <w:sz w:val="24"/>
          <w:szCs w:val="24"/>
        </w:rPr>
        <w:t>，</w:t>
      </w:r>
      <w:r>
        <w:rPr>
          <w:rFonts w:ascii="宋体" w:hAnsi="宋体"/>
          <w:sz w:val="24"/>
          <w:szCs w:val="24"/>
        </w:rPr>
        <w:t>还款期限在1年（不含）以上的</w:t>
      </w:r>
      <w:r>
        <w:rPr>
          <w:rFonts w:ascii="宋体" w:hAnsi="宋体" w:hint="eastAsia"/>
          <w:sz w:val="24"/>
          <w:szCs w:val="24"/>
        </w:rPr>
        <w:t>中长期</w:t>
      </w:r>
      <w:r>
        <w:rPr>
          <w:rFonts w:ascii="宋体" w:hAnsi="宋体"/>
          <w:sz w:val="24"/>
          <w:szCs w:val="24"/>
        </w:rPr>
        <w:t>跨境融资</w:t>
      </w:r>
      <w:r>
        <w:rPr>
          <w:rFonts w:ascii="宋体" w:hAnsi="宋体" w:hint="eastAsia"/>
          <w:sz w:val="24"/>
          <w:szCs w:val="24"/>
        </w:rPr>
        <w:t>、</w:t>
      </w:r>
      <w:r>
        <w:rPr>
          <w:rFonts w:ascii="宋体" w:hAnsi="宋体"/>
          <w:sz w:val="24"/>
          <w:szCs w:val="24"/>
        </w:rPr>
        <w:t>还款期限在1年（含）以下的</w:t>
      </w:r>
      <w:r>
        <w:rPr>
          <w:rFonts w:ascii="宋体" w:hAnsi="宋体" w:hint="eastAsia"/>
          <w:sz w:val="24"/>
          <w:szCs w:val="24"/>
        </w:rPr>
        <w:t>短期</w:t>
      </w:r>
      <w:r>
        <w:rPr>
          <w:rFonts w:ascii="宋体" w:hAnsi="宋体"/>
          <w:sz w:val="24"/>
          <w:szCs w:val="24"/>
        </w:rPr>
        <w:t>跨境融资</w:t>
      </w:r>
      <w:r>
        <w:rPr>
          <w:rFonts w:ascii="宋体" w:hAnsi="宋体" w:hint="eastAsia"/>
          <w:sz w:val="24"/>
          <w:szCs w:val="24"/>
        </w:rPr>
        <w:t>期限风险转换因子分别为1、1.5；汇率风险折算因子为0.5。</w:t>
      </w:r>
      <w:r>
        <w:rPr>
          <w:rFonts w:ascii="宋体" w:hAnsi="宋体"/>
          <w:sz w:val="24"/>
          <w:szCs w:val="24"/>
        </w:rPr>
        <w:t>外债合同中包含提前还款条款的，除非提前还款条款明确在合同签约一年后方可提前还款，该合同对应的外债金额全部视同</w:t>
      </w:r>
      <w:r>
        <w:rPr>
          <w:rFonts w:ascii="宋体" w:hAnsi="宋体" w:hint="eastAsia"/>
          <w:sz w:val="24"/>
          <w:szCs w:val="24"/>
        </w:rPr>
        <w:t>短期</w:t>
      </w:r>
      <w:r>
        <w:rPr>
          <w:rFonts w:ascii="宋体" w:hAnsi="宋体"/>
          <w:sz w:val="24"/>
          <w:szCs w:val="24"/>
        </w:rPr>
        <w:t>跨境融资适用期限风险转换</w:t>
      </w:r>
      <w:r>
        <w:rPr>
          <w:rFonts w:ascii="宋体" w:hAnsi="宋体" w:hint="eastAsia"/>
          <w:sz w:val="24"/>
          <w:szCs w:val="24"/>
        </w:rPr>
        <w:t>因子。</w:t>
      </w:r>
    </w:p>
    <w:p w:rsidR="00AD63B6" w:rsidRDefault="00AD63B6"/>
    <w:sectPr w:rsidR="00AD63B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C3" w:rsidRDefault="00DF77C3">
      <w:r>
        <w:separator/>
      </w:r>
    </w:p>
  </w:endnote>
  <w:endnote w:type="continuationSeparator" w:id="0">
    <w:p w:rsidR="00DF77C3" w:rsidRDefault="00DF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6" w:rsidRDefault="00953203">
    <w:pPr>
      <w:pStyle w:val="a3"/>
      <w:jc w:val="center"/>
    </w:pPr>
    <w:r>
      <w:fldChar w:fldCharType="begin"/>
    </w:r>
    <w:r>
      <w:instrText xml:space="preserve"> PAGE   \* MERGEFORMAT </w:instrText>
    </w:r>
    <w:r>
      <w:fldChar w:fldCharType="separate"/>
    </w:r>
    <w:r w:rsidR="00F656D8">
      <w:rPr>
        <w:noProof/>
      </w:rPr>
      <w:t>7</w:t>
    </w:r>
    <w:r>
      <w:rPr>
        <w:lang w:val="zh-CN"/>
      </w:rPr>
      <w:fldChar w:fldCharType="end"/>
    </w:r>
  </w:p>
  <w:p w:rsidR="00AD63B6" w:rsidRDefault="00AD63B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C3" w:rsidRDefault="00DF77C3">
      <w:r>
        <w:separator/>
      </w:r>
    </w:p>
  </w:footnote>
  <w:footnote w:type="continuationSeparator" w:id="0">
    <w:p w:rsidR="00DF77C3" w:rsidRDefault="00DF7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500"/>
  <w:drawingGridHorizontalSpacing w:val="1"/>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suppressSpBfAfterPgBrk/>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3B6"/>
    <w:rsid w:val="00633FB4"/>
    <w:rsid w:val="00953203"/>
    <w:rsid w:val="00AD63B6"/>
    <w:rsid w:val="00DF77C3"/>
    <w:rsid w:val="00F6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D476D4"/>
  <w15:docId w15:val="{79789F42-5046-482A-83D0-C439744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uiPriority w:val="99"/>
    <w:qFormat/>
    <w:pPr>
      <w:spacing w:line="340" w:lineRule="exact"/>
      <w:ind w:right="-139" w:hangingChars="26" w:hanging="26"/>
    </w:pPr>
    <w:rPr>
      <w:rFonts w:ascii="华文中宋" w:eastAsia="华文中宋" w:hAnsi="华文中宋" w:cs="华文中宋"/>
      <w:sz w:val="24"/>
    </w:rPr>
  </w:style>
  <w:style w:type="paragraph" w:customStyle="1" w:styleId="BodyTextIndent1">
    <w:name w:val="Body Text Indent1"/>
    <w:basedOn w:val="a"/>
    <w:uiPriority w:val="99"/>
    <w:qFormat/>
    <w:pPr>
      <w:spacing w:after="120"/>
      <w:ind w:leftChars="200" w:left="420"/>
    </w:pPr>
  </w:style>
  <w:style w:type="paragraph" w:styleId="a3">
    <w:name w:val="footer"/>
    <w:basedOn w:val="a"/>
    <w:unhideWhenUsed/>
    <w:pPr>
      <w:tabs>
        <w:tab w:val="center" w:pos="4153"/>
        <w:tab w:val="right" w:pos="8306"/>
      </w:tabs>
      <w:snapToGrid w:val="0"/>
      <w:jc w:val="left"/>
    </w:pPr>
    <w:rPr>
      <w:sz w:val="18"/>
      <w:szCs w:val="18"/>
    </w:rPr>
  </w:style>
  <w:style w:type="paragraph" w:styleId="a4">
    <w:name w:val="footnote text"/>
    <w:basedOn w:val="a"/>
    <w:uiPriority w:val="99"/>
    <w:semiHidden/>
    <w:unhideWhenUsed/>
    <w:pPr>
      <w:snapToGrid w:val="0"/>
      <w:jc w:val="left"/>
    </w:pPr>
    <w:rPr>
      <w:sz w:val="18"/>
    </w:rPr>
  </w:style>
  <w:style w:type="character" w:styleId="a5">
    <w:name w:val="footnote reference"/>
    <w:uiPriority w:val="99"/>
    <w:semiHidden/>
    <w:unhideWhenUsed/>
    <w:rPr>
      <w:vertAlign w:val="superscript"/>
    </w:rPr>
  </w:style>
  <w:style w:type="paragraph" w:styleId="a6">
    <w:name w:val="header"/>
    <w:basedOn w:val="a"/>
    <w:link w:val="a7"/>
    <w:unhideWhenUsed/>
    <w:rsid w:val="00633FB4"/>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633F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附4</dc:title>
  <cp:lastModifiedBy>邓薇</cp:lastModifiedBy>
  <cp:revision>2</cp:revision>
  <dcterms:created xsi:type="dcterms:W3CDTF">2024-02-23T06:03:00Z</dcterms:created>
  <dcterms:modified xsi:type="dcterms:W3CDTF">2024-04-23T02:21:00Z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