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编号：57014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非银行金融机构（不含保险公司）结售汇业务资格审批（含初审）</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结售汇业务内部管理规章制度</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具备办理结售汇业务所必需的软硬件设施的说明材料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初审：申请人提交材料备齐备之日起初审20个工作日。所在地国家外汇管理局分局（外汇管理部）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国家外汇管理局收到外汇分局（外汇管理部）上报的初审材料，于20个工作日内做出结售汇业务资格许可，并核定其结售汇综合头寸。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批复文件。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rPr>
        <w:t>初审意见上报国家外汇管理局。国家外汇管理局向初审外汇局批复后，由初审外汇局向申请人出具批复文件。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国家外汇管理局通过发文回复初审外汇局（外汇管理部）。初审外汇局出具的批复文件通过现场告知或电话通知申请人，并通过现场领取或邮寄方式将结果送达。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w:t>
      </w:r>
      <w:bookmarkStart w:id="0" w:name="_GoBack"/>
      <w:bookmarkEnd w:id="0"/>
      <w:r>
        <w:rPr>
          <w:rFonts w:hint="eastAsia" w:ascii="仿宋_GB2312" w:hAnsi="仿宋_GB2312" w:eastAsia="仿宋_GB2312" w:cs="仿宋_GB2312"/>
          <w:sz w:val="30"/>
          <w:szCs w:val="30"/>
          <w:lang w:val="en-US" w:eastAsia="zh-CN"/>
        </w:rPr>
        <w:t>办公楼2208室）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cs="Times New Roman"/>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 o:spid="_x0000_s1027" style="position:absolute;left:0;margin-left:-41.25pt;margin-top:27.05pt;height:681.4pt;width:470.35pt;rotation:0f;z-index:251658240;" coordorigin="1425,1526" coordsize="9407,13628">
            <o:lock v:ext="edit" position="f" selection="f" grouping="f" rotation="f" cropping="f" text="f" aspectratio="f"/>
            <v:shape id="AutoShape 3" o:spid="_x0000_s1028" type="#_x0000_t32" style="position:absolute;left:6601;top:11865;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 o:spid="_x0000_s1029" style="position:absolute;left:1425;top:1526;height:13628;width:9407;rotation:0f;" coordorigin="1425,1526" coordsize="9407,13628">
              <o:lock v:ext="edit" position="f" selection="f" grouping="f" rotation="f" cropping="f" text="f" aspectratio="f"/>
              <v:shape id="AutoShape 5" o:spid="_x0000_s1030" type="#_x0000_t32" style="position:absolute;left:9019;top:12580;height:62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 o:spid="_x0000_s1031" type="#_x0000_t32" style="position:absolute;left:4049;top:12580;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 o:spid="_x0000_s1032" style="position:absolute;left:1425;top:1526;height:13628;width:9407;rotation:0f;" coordorigin="1425,1526" coordsize="9407,13628">
                <o:lock v:ext="edit" position="f" selection="f" grouping="f" rotation="f" cropping="f" text="f" aspectratio="f"/>
                <v:rect id="Rectangle 8" o:spid="_x0000_s1033" style="position:absolute;left:5093;top:11586;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group id="Group 9" o:spid="_x0000_s1034" style="position:absolute;left:1425;top:1526;height:13628;width:9407;rotation:0f;" coordorigin="1425,1526" coordsize="9407,13628">
                  <o:lock v:ext="edit" position="f" selection="f" grouping="f" rotation="f" cropping="f" text="f" aspectratio="f"/>
                  <v:shape id="AutoShape 10" o:spid="_x0000_s1035" type="#_x0000_t116" style="position:absolute;left:7715;top:13147;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 o:spid="_x0000_s1036" type="#_x0000_t116" style="position:absolute;left:2070;top:14476;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shape id="AutoShape 12" o:spid="_x0000_s1037" type="#_x0000_t32" style="position:absolute;left:4035;top:12580;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13" o:spid="_x0000_s1038" style="position:absolute;left:1934;top:13147;height:859;width:466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49;top:14006;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5" o:spid="_x0000_s1040" type="#_x0000_t32" style="position:absolute;left:6647;top:10960;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41" style="position:absolute;left:1425;top:1526;height:11606;width:9131;rotation:0f;" coordorigin="1425,1526" coordsize="9131,11606">
                    <o:lock v:ext="edit" position="f" selection="f" grouping="f" rotation="f" cropping="f" text="f" aspectratio="f"/>
                    <v:shape id="AutoShape 17" o:spid="_x0000_s1042"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8" o:spid="_x0000_s1043"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9" o:spid="_x0000_s1044" style="position:absolute;left:1425;top:2261;height:6416;width:9131;rotation:0f;" coordorigin="1425,2301" coordsize="9131,6416">
                      <o:lock v:ext="edit" position="f" selection="f" grouping="f" rotation="f" cropping="f" text="f" aspectratio="f"/>
                      <v:shape id="AutoShape 20" o:spid="_x0000_s1045" type="#_x0000_t34" style="position:absolute;left:8014;top:4167;height:1285;width:3790;rotation:17694720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1" o:spid="_x0000_s1046" style="position:absolute;left:1425;top:2301;height:6416;width:9131;rotation:0f;" coordorigin="1446,3821" coordsize="9131,6416">
                        <o:lock v:ext="edit" position="f" selection="f" grouping="f" rotation="f" cropping="f" text="f" aspectratio="f"/>
                        <v:shape id="AutoShape 22" o:spid="_x0000_s1047"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3" o:spid="_x0000_s1048"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shape id="AutoShape 24" o:spid="_x0000_s1049"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5" o:spid="_x0000_s1050"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6" o:spid="_x0000_s1051"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7" o:spid="_x0000_s1052"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8" o:spid="_x0000_s1053"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9" o:spid="_x0000_s1054"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30" o:spid="_x0000_s1055" type="#_x0000_t32" style="position:absolute;left:4668;top:5550;height:0;width:99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6"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7" type="#_x0000_t4" style="position:absolute;left:1446;top:4484;height:2131;width:319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3" o:spid="_x0000_s1058"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9"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5" o:spid="_x0000_s1060"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36" o:spid="_x0000_s1061" type="#_x0000_t116" style="position:absolute;left:6282;top:3821;height:1483;width:291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7" o:spid="_x0000_s1062" type="#_x0000_t202" style="position:absolute;left:4834;top:4762;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8" o:spid="_x0000_s1063"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9" o:spid="_x0000_s1064" type="#_x0000_t32" style="position:absolute;left:9231;top:4464;flip:x;height:20;width:134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40" o:spid="_x0000_s1065"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1" o:spid="_x0000_s1066" type="#_x0000_t4" style="position:absolute;left:3450;top:8996;height:2160;width:63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申请人所在地外汇分局（外汇管理部）根据申请材料和软硬件基础设施情况，作出初审意见</w:t>
                            </w:r>
                          </w:p>
                        </w:txbxContent>
                      </v:textbox>
                    </v:shape>
                    <v:shape id="Text Box 42" o:spid="_x0000_s1067"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3" o:spid="_x0000_s1068"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4" o:spid="_x0000_s1069" type="#_x0000_t32" style="position:absolute;left:9825;top:10105;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5</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6E5D"/>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3C4B"/>
    <w:rsid w:val="00D6407D"/>
    <w:rsid w:val="00D81C79"/>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 w:val="03B845A2"/>
    <w:rsid w:val="19455FF5"/>
    <w:rsid w:val="1EBB124D"/>
    <w:rsid w:val="21096460"/>
    <w:rsid w:val="2D107406"/>
    <w:rsid w:val="6F7D559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5"/>
        <o:r id="V:Rule3" type="connector" idref="#AutoShape 6"/>
        <o:r id="V:Rule4" type="connector" idref="#AutoShape 12"/>
        <o:r id="V:Rule5" type="connector" idref="#AutoShape 14"/>
        <o:r id="V:Rule6" type="connector" idref="#AutoShape 15"/>
        <o:r id="V:Rule7" type="connector" idref="#AutoShape 17"/>
        <o:r id="V:Rule8" type="connector" idref="#AutoShape 20"/>
        <o:r id="V:Rule9" type="connector" idref="#AutoShape 22"/>
        <o:r id="V:Rule10" type="connector" idref="#AutoShape 24"/>
        <o:r id="V:Rule11" type="connector" idref="#AutoShape 25"/>
        <o:r id="V:Rule12" type="connector" idref="#AutoShape 27"/>
        <o:r id="V:Rule13" type="connector" idref="#AutoShape 30"/>
        <o:r id="V:Rule14" type="connector" idref="#AutoShape 31"/>
        <o:r id="V:Rule15" type="connector" idref="#AutoShape 33"/>
        <o:r id="V:Rule16" type="connector" idref="#AutoShape 34"/>
        <o:r id="V:Rule17" type="connector" idref="#AutoShape 39"/>
        <o:r id="V:Rule18" type="connector" idref="#AutoShape 40"/>
        <o:r id="V:Rule19" type="connector" idref="#AutoShape 4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488</Words>
  <Characters>2787</Characters>
  <Lines>23</Lines>
  <Paragraphs>6</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郑博涵</cp:lastModifiedBy>
  <cp:lastPrinted>2021-08-06T10:11:00Z</cp:lastPrinted>
  <dcterms:modified xsi:type="dcterms:W3CDTF">2023-08-25T01:23:01Z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