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 xml:space="preserve">编号：57001-2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 xml:space="preserve">“进口付汇事前审核”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jc w:val="left"/>
        <w:rPr>
          <w:rFonts w:ascii="Times New Roman" w:hAnsi="Times New Roman" w:eastAsia="黑体" w:cs="Times New Roman"/>
          <w:sz w:val="30"/>
          <w:szCs w:val="30"/>
        </w:rPr>
      </w:pPr>
      <w:r>
        <w:rPr>
          <w:rFonts w:ascii="Times New Roman" w:hAnsi="Times New Roman" w:eastAsia="黑体" w:cs="Times New Roman"/>
          <w:sz w:val="30"/>
          <w:szCs w:val="30"/>
        </w:rPr>
        <w:t xml:space="preserve">    一、项目信息</w:t>
      </w:r>
    </w:p>
    <w:p>
      <w:pPr>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项目名称：进口单位进口付汇核查；</w:t>
      </w:r>
    </w:p>
    <w:p>
      <w:pPr>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项目编号：57001；</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子项名称：进口付汇事前审核；</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本指南适用于“进口付汇事前审核”的申请和办理。</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二条：“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（二）《国务院对确需保留的行政审批项目设定行政许可的决定》（国务院令第412号）附件第490项“进口单位进口付汇备案核准”。</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四、办理依据</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（二）《国家外汇管理局关于印发货物贸易外汇管理法规有关问题的通知》（汇发〔2012〕38号）；</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（三）《国家外汇管理局关于印发〈跨国公司跨境资金集中运营管理规定〉的通知》（汇发〔2019〕7号）；</w:t>
      </w:r>
    </w:p>
    <w:p>
      <w:pPr>
        <w:ind w:firstLine="600" w:firstLineChars="200"/>
        <w:rPr>
          <w:rFonts w:ascii="Times New Roman" w:hAnsi="Times New Roman" w:eastAsia="仿宋_GB2312" w:cs="Times New Roman"/>
          <w:sz w:val="30"/>
          <w:szCs w:val="30"/>
          <w:lang w:bidi="zh-CN"/>
        </w:rPr>
      </w:pPr>
      <w:r>
        <w:rPr>
          <w:rFonts w:ascii="Times New Roman" w:hAnsi="Times New Roman" w:eastAsia="仿宋_GB2312" w:cs="Times New Roman"/>
          <w:sz w:val="30"/>
          <w:szCs w:val="30"/>
        </w:rPr>
        <w:t>（四）</w:t>
      </w:r>
      <w:r>
        <w:rPr>
          <w:rFonts w:ascii="Times New Roman" w:hAnsi="Times New Roman" w:eastAsia="仿宋_GB2312" w:cs="Times New Roman"/>
          <w:sz w:val="30"/>
          <w:szCs w:val="30"/>
          <w:lang w:bidi="zh-CN"/>
        </w:rPr>
        <w:t>《国家外汇管理局关于优化外汇管理 支持涉外业务发展的通知》（汇发〔2020〕8号）；</w:t>
      </w:r>
    </w:p>
    <w:p>
      <w:pPr>
        <w:ind w:firstLine="600" w:firstLineChars="200"/>
        <w:rPr>
          <w:rFonts w:ascii="Times New Roman" w:hAnsi="Times New Roman" w:eastAsia="仿宋_GB2312" w:cs="Times New Roman"/>
          <w:sz w:val="30"/>
          <w:szCs w:val="30"/>
          <w:lang w:bidi="zh-CN"/>
        </w:rPr>
      </w:pPr>
      <w:r>
        <w:rPr>
          <w:rFonts w:ascii="Times New Roman" w:hAnsi="Times New Roman" w:eastAsia="仿宋_GB2312" w:cs="Times New Roman"/>
          <w:sz w:val="30"/>
          <w:szCs w:val="30"/>
        </w:rPr>
        <w:t>（五）《国家外汇管理局关于印发〈经常项目外汇业务指引（2020年版）〉的通知》（汇发〔2020〕14号）</w:t>
      </w:r>
      <w:r>
        <w:rPr>
          <w:rFonts w:ascii="Times New Roman" w:hAnsi="Times New Roman" w:eastAsia="仿宋_GB2312" w:cs="Times New Roman"/>
          <w:sz w:val="30"/>
          <w:szCs w:val="30"/>
          <w:lang w:bidi="zh-CN"/>
        </w:rPr>
        <w:t>。</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五、受理机构</w:t>
      </w:r>
    </w:p>
    <w:p>
      <w:pPr>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申请人注册所在地国家外汇管理局分支局。</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六、决定机构</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跨国公司资金集中运营-经常项目资金集中收付和轧差净额结算业务相关行政许可的决定机构为申请人注册所在地国家外汇管理局分局</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其他行政许可的决定机构为申请人注册所在地国家外汇管理局分支局。</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七、审批数量</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八、办事条件</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（一）申请人条件</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1.C类企业；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2.超过付汇额度的B类企业；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3.发生90天以上（不含）延期付款的B类企业；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4.办理退汇日期与原收、付款日期间隔在180天以上（不含）或由于特殊情况无法原路退回的退汇业务时，A类企业单笔等值5万美元以上（不含）或B、C类企业；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5.办理经常项目资金集中收付和轧差净额结算业务的跨国公司主办企业；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6.办理新出现的贸易新业态外汇支出业务的企业。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（二）具备或符合如下条件的，准予批准</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1.对于C类企业：</w:t>
      </w:r>
    </w:p>
    <w:p>
      <w:pPr>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交易合规：C类企业原则上不得办理90天以上（不含）的远期信用证（含展期）、海外代付等进口贸易融资业务；不得办理90天以上（不含）的延期付款、托收业务；不得办理离岸转手买卖外汇支出；</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2.对于超过付汇额度的B类企业：</w:t>
      </w:r>
    </w:p>
    <w:p>
      <w:pPr>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交易合规：B类企业原则上不得办理90天以上（不含）的延期付款业务；不得办理离岸转手买卖外汇支出；</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3.对于90天以上（不含）延期付款的B类企业：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交易合规：在分类监管有效期内，此前导致降级的情况已改善或纠正，且没有发生法规规定情形的，自列入B类之日起6个月后，可经外汇局登记办理该业务。</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4.对于超期限或无法原路退汇的企业：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交易合规。</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5.对于办理经常项目资金集中收付和轧差净额结算业务的跨国公司主办企业：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（1）具备真实业务需求；</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（2）具有完善的跨境资金管理架构、内控制度；</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（3）建立相应的内部管理电子系统；</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（4）上年度本外币国际收支规模超过1亿美元（参加跨境资金集中运营业务的境内成员企业合并计算）；</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（5）近三年无重大外汇违法违规行为（成立不满三年的企业，自成立之日起无重大外汇违规行为）；</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（6）主办企业和境内成员企业如为贸易外汇收支名录内企业，货物贸易分类结果应为A类；</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（7）国家外汇管理局规定的其他审慎监管条件。</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6.对于新出现的贸易新业态外汇支出业务：</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交易合规。</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禁止性要求：1.申请材料不齐全，不符合法规规定。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2.申请业务不具有真实、合法的交易背景。</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九、申请材料</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（一）C类企业进口付汇登记申请材料清单</w:t>
      </w:r>
    </w:p>
    <w:tbl>
      <w:tblPr>
        <w:tblStyle w:val="8"/>
        <w:tblW w:w="87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6"/>
        <w:gridCol w:w="2346"/>
        <w:gridCol w:w="1417"/>
        <w:gridCol w:w="425"/>
        <w:gridCol w:w="851"/>
        <w:gridCol w:w="2268"/>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34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2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26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34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说明需登记的事项和具体内容。对于贸易收汇的退汇支付，应在书面申请中具体说明退汇原因以及退汇同时是否发生货物退运。</w:t>
            </w:r>
          </w:p>
        </w:tc>
        <w:tc>
          <w:tcPr>
            <w:tcW w:w="992" w:type="dxa"/>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对于代理进口业务，代理方为C类企业的，应当按规定办理贸易外汇支出登记。</w:t>
            </w:r>
          </w:p>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346" w:type="dxa"/>
            <w:vAlign w:val="center"/>
          </w:tcPr>
          <w:p>
            <w:pPr>
              <w:jc w:val="center"/>
              <w:rPr>
                <w:rFonts w:ascii="Times New Roman" w:hAnsi="Times New Roman" w:eastAsia="仿宋_GB2312" w:cs="Times New Roman"/>
                <w:b/>
                <w:bCs/>
                <w:kern w:val="44"/>
                <w:sz w:val="24"/>
                <w:szCs w:val="24"/>
              </w:rPr>
            </w:pPr>
            <w:r>
              <w:rPr>
                <w:rFonts w:ascii="Times New Roman" w:hAnsi="Times New Roman" w:eastAsia="仿宋_GB2312" w:cs="Times New Roman"/>
                <w:sz w:val="24"/>
                <w:szCs w:val="24"/>
              </w:rPr>
              <w:t>合同</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1.一般情况应提交进口合同；2.对于贸易收汇的退汇支付，因错误汇入以外的其他原因产生的，提交原出口合同。</w:t>
            </w:r>
          </w:p>
        </w:tc>
        <w:tc>
          <w:tcPr>
            <w:tcW w:w="992"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34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发票</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预付货款方式结算时提供发票。</w:t>
            </w:r>
          </w:p>
        </w:tc>
        <w:tc>
          <w:tcPr>
            <w:tcW w:w="992"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34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报关单</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1.除信用证、托收、预付货款外其他方式结算，货物已进口报关的，需提供报关单，货物不报关的，可提供运输单据等其他材料；2.发生货物退运而产生贸易收汇退汇支付时应提供。 </w:t>
            </w:r>
          </w:p>
        </w:tc>
        <w:tc>
          <w:tcPr>
            <w:tcW w:w="992"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234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捐赠协议</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对于进口与支出主体不一致的业务，属于捐赠进口业务的，应提交捐赠协议。</w:t>
            </w:r>
          </w:p>
        </w:tc>
        <w:tc>
          <w:tcPr>
            <w:tcW w:w="992"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234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分立、合并证明文件</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因企业分立、合并原因导致进口与支出主体不一致的，应提交相关部门出具的分立、合并证明文件。 </w:t>
            </w:r>
          </w:p>
        </w:tc>
        <w:tc>
          <w:tcPr>
            <w:tcW w:w="992"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2346" w:type="dxa"/>
            <w:vAlign w:val="center"/>
          </w:tcPr>
          <w:p>
            <w:pPr>
              <w:jc w:val="center"/>
              <w:rPr>
                <w:rStyle w:val="14"/>
                <w:rFonts w:ascii="Times New Roman" w:hAnsi="Times New Roman" w:cs="Times New Roman"/>
              </w:rPr>
            </w:pPr>
            <w:r>
              <w:rPr>
                <w:rFonts w:ascii="Times New Roman" w:hAnsi="Times New Roman" w:eastAsia="仿宋_GB2312" w:cs="Times New Roman"/>
                <w:sz w:val="24"/>
                <w:szCs w:val="24"/>
              </w:rPr>
              <w:t>原收汇凭证</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rPr>
                <w:rFonts w:ascii="Times New Roman" w:hAnsi="Times New Roman" w:eastAsia="宋体" w:cs="Times New Roman"/>
                <w:kern w:val="0"/>
                <w:sz w:val="24"/>
                <w:szCs w:val="24"/>
              </w:rPr>
            </w:pPr>
            <w:r>
              <w:rPr>
                <w:rFonts w:ascii="Times New Roman" w:hAnsi="Times New Roman" w:eastAsia="仿宋_GB2312" w:cs="Times New Roman"/>
                <w:sz w:val="24"/>
                <w:szCs w:val="24"/>
              </w:rPr>
              <w:t>贸易收汇退汇时提供原收汇凭证。</w:t>
            </w:r>
          </w:p>
        </w:tc>
        <w:tc>
          <w:tcPr>
            <w:tcW w:w="992"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w:t>
            </w:r>
          </w:p>
        </w:tc>
        <w:tc>
          <w:tcPr>
            <w:tcW w:w="2346" w:type="dxa"/>
            <w:vAlign w:val="center"/>
          </w:tcPr>
          <w:p>
            <w:pPr>
              <w:jc w:val="center"/>
              <w:rPr>
                <w:rStyle w:val="14"/>
                <w:rFonts w:ascii="Times New Roman" w:hAnsi="Times New Roman" w:eastAsia="仿宋_GB2312" w:cs="Times New Roman"/>
                <w:sz w:val="24"/>
                <w:szCs w:val="24"/>
              </w:rPr>
            </w:pPr>
            <w:r>
              <w:rPr>
                <w:rFonts w:ascii="Times New Roman" w:hAnsi="Times New Roman" w:eastAsia="仿宋_GB2312" w:cs="Times New Roman"/>
                <w:sz w:val="24"/>
                <w:szCs w:val="24"/>
              </w:rPr>
              <w:t>退汇协议、错汇说明等证明付汇真实性的材料</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widowControl/>
              <w:jc w:val="left"/>
              <w:rPr>
                <w:rFonts w:ascii="Times New Roman" w:hAnsi="Times New Roman" w:eastAsia="仿宋_GB2312" w:cs="Times New Roman"/>
                <w:kern w:val="0"/>
                <w:sz w:val="24"/>
                <w:szCs w:val="24"/>
              </w:rPr>
            </w:pPr>
          </w:p>
        </w:tc>
        <w:tc>
          <w:tcPr>
            <w:tcW w:w="992" w:type="dxa"/>
            <w:vMerge w:val="continue"/>
            <w:vAlign w:val="top"/>
          </w:tcPr>
          <w:p>
            <w:pPr>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（二）超过付汇额度的B类企业进口付汇登记申请材料清单</w:t>
      </w:r>
    </w:p>
    <w:tbl>
      <w:tblPr>
        <w:tblStyle w:val="8"/>
        <w:tblW w:w="87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352"/>
        <w:gridCol w:w="1244"/>
        <w:gridCol w:w="457"/>
        <w:gridCol w:w="851"/>
        <w:gridCol w:w="3218"/>
        <w:gridCol w:w="11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35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24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321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1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说明为B类企业及具有超过可付汇额度付汇需要。</w:t>
            </w:r>
          </w:p>
        </w:tc>
        <w:tc>
          <w:tcPr>
            <w:tcW w:w="1176" w:type="dxa"/>
            <w:vMerge w:val="restart"/>
            <w:vAlign w:val="center"/>
          </w:tcPr>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r>
              <w:rPr>
                <w:rFonts w:ascii="Times New Roman" w:hAnsi="Times New Roman" w:eastAsia="仿宋_GB2312" w:cs="Times New Roman"/>
                <w:sz w:val="24"/>
                <w:szCs w:val="24"/>
              </w:rPr>
              <w:t>对于代理业务，代理方为B类企业且可付汇额度不足的，应当按规定办理贸易外汇支出登记。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可付汇额度不足的证明材料</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keepNext/>
              <w:keepLines/>
              <w:spacing w:before="340" w:after="330" w:line="578" w:lineRule="auto"/>
              <w:rPr>
                <w:rFonts w:ascii="Times New Roman" w:hAnsi="Times New Roman" w:eastAsia="仿宋_GB2312" w:cs="Times New Roman"/>
                <w:sz w:val="24"/>
                <w:szCs w:val="24"/>
              </w:rPr>
            </w:pPr>
          </w:p>
        </w:tc>
        <w:tc>
          <w:tcPr>
            <w:tcW w:w="1176" w:type="dxa"/>
            <w:vMerge w:val="continue"/>
            <w:vAlign w:val="center"/>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合同</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 一般情况应提交进口合同；2.对于贸易收汇的退汇支付，因错误汇入以外的其他原因产生的，提交原出口合同。</w:t>
            </w:r>
          </w:p>
        </w:tc>
        <w:tc>
          <w:tcPr>
            <w:tcW w:w="1176" w:type="dxa"/>
            <w:vMerge w:val="continue"/>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发票</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预付货款方式结算时提供发票。</w:t>
            </w:r>
          </w:p>
        </w:tc>
        <w:tc>
          <w:tcPr>
            <w:tcW w:w="1176"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报关单</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 除信用证、托收、预付货款外其他方式结算的，货物已进口报关的，需提供报关单，货物不报关的，可提供运输单据等其他材料；2.发生货物退运而产生贸易收汇退汇支付时应提供。</w:t>
            </w:r>
          </w:p>
        </w:tc>
        <w:tc>
          <w:tcPr>
            <w:tcW w:w="1176"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捐赠协议</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对于进口与支出主体不一致的业务，属于捐赠进口业务的，应提交捐赠协议。</w:t>
            </w:r>
          </w:p>
        </w:tc>
        <w:tc>
          <w:tcPr>
            <w:tcW w:w="1176"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分立、合并证明文件</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因企业分立、合并原因导致进口与支出主体不一致的，应提交相关部门出具的分立、合并证明文件。 </w:t>
            </w:r>
          </w:p>
        </w:tc>
        <w:tc>
          <w:tcPr>
            <w:tcW w:w="1176"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原收汇凭证</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贸易收汇退汇时提供原收汇凭证。</w:t>
            </w:r>
          </w:p>
        </w:tc>
        <w:tc>
          <w:tcPr>
            <w:tcW w:w="1176"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9</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退汇协议、错汇说明等证明付汇真实性的材料</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keepNext/>
              <w:keepLines/>
              <w:spacing w:before="340" w:after="330" w:line="578"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p>
        </w:tc>
        <w:tc>
          <w:tcPr>
            <w:tcW w:w="1176" w:type="dxa"/>
            <w:vMerge w:val="continue"/>
            <w:vAlign w:val="top"/>
          </w:tcPr>
          <w:p>
            <w:pPr>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（三）90天以上延期付款的B类企业进口付汇登记申请材料清单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352"/>
        <w:gridCol w:w="1985"/>
        <w:gridCol w:w="992"/>
        <w:gridCol w:w="851"/>
        <w:gridCol w:w="1701"/>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35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98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7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9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说明需登记的事项和具体内容。 </w:t>
            </w:r>
          </w:p>
        </w:tc>
        <w:tc>
          <w:tcPr>
            <w:tcW w:w="1275" w:type="dxa"/>
            <w:vMerge w:val="restart"/>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进口合同</w:t>
            </w:r>
          </w:p>
        </w:tc>
        <w:tc>
          <w:tcPr>
            <w:tcW w:w="19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keepNext/>
              <w:keepLines/>
              <w:spacing w:before="340" w:after="330" w:line="578" w:lineRule="auto"/>
              <w:rPr>
                <w:rFonts w:ascii="Times New Roman" w:hAnsi="Times New Roman" w:eastAsia="仿宋_GB2312" w:cs="Times New Roman"/>
                <w:sz w:val="24"/>
                <w:szCs w:val="24"/>
              </w:rPr>
            </w:pPr>
          </w:p>
        </w:tc>
        <w:tc>
          <w:tcPr>
            <w:tcW w:w="1275"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进口货物报关单</w:t>
            </w:r>
          </w:p>
        </w:tc>
        <w:tc>
          <w:tcPr>
            <w:tcW w:w="19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货物不报关的可提供运输单据等其他材料</w:t>
            </w:r>
          </w:p>
        </w:tc>
        <w:tc>
          <w:tcPr>
            <w:tcW w:w="1275"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352" w:type="dxa"/>
            <w:vAlign w:val="center"/>
          </w:tcPr>
          <w:p>
            <w:pPr>
              <w:widowControl/>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需90天以上延期付款的证明材料</w:t>
            </w:r>
          </w:p>
        </w:tc>
        <w:tc>
          <w:tcPr>
            <w:tcW w:w="19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keepNext/>
              <w:keepLines/>
              <w:spacing w:before="340" w:after="330" w:line="578" w:lineRule="auto"/>
              <w:rPr>
                <w:rFonts w:ascii="Times New Roman" w:hAnsi="Times New Roman" w:eastAsia="仿宋_GB2312" w:cs="Times New Roman"/>
                <w:sz w:val="24"/>
                <w:szCs w:val="24"/>
              </w:rPr>
            </w:pPr>
          </w:p>
        </w:tc>
        <w:tc>
          <w:tcPr>
            <w:tcW w:w="1275"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（四）超期限或无法原路退汇的企业付汇登记申请材料清单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2486"/>
        <w:gridCol w:w="993"/>
        <w:gridCol w:w="457"/>
        <w:gridCol w:w="818"/>
        <w:gridCol w:w="1701"/>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48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1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4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说明需要登记事项的具体内容，超期限或无法原路退汇的原因，退汇同时是否发生货物退运。</w:t>
            </w:r>
          </w:p>
        </w:tc>
        <w:tc>
          <w:tcPr>
            <w:tcW w:w="1701" w:type="dxa"/>
            <w:vMerge w:val="restart"/>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4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超期限或无法原路退汇的证明材料</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keepNext/>
              <w:keepLines/>
              <w:spacing w:before="340" w:after="330" w:line="578" w:lineRule="auto"/>
              <w:rPr>
                <w:rFonts w:ascii="Times New Roman" w:hAnsi="Times New Roman" w:eastAsia="仿宋_GB2312" w:cs="Times New Roman"/>
                <w:sz w:val="24"/>
                <w:szCs w:val="24"/>
              </w:rPr>
            </w:pPr>
          </w:p>
        </w:tc>
        <w:tc>
          <w:tcPr>
            <w:tcW w:w="1701" w:type="dxa"/>
            <w:vMerge w:val="continue"/>
            <w:vAlign w:val="center"/>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4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原收汇凭证</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keepNext/>
              <w:keepLines/>
              <w:spacing w:before="340" w:after="330" w:line="578" w:lineRule="auto"/>
              <w:rPr>
                <w:rFonts w:ascii="Times New Roman" w:hAnsi="Times New Roman" w:eastAsia="仿宋_GB2312" w:cs="Times New Roman"/>
                <w:sz w:val="24"/>
                <w:szCs w:val="24"/>
              </w:rPr>
            </w:pPr>
          </w:p>
        </w:tc>
        <w:tc>
          <w:tcPr>
            <w:tcW w:w="1701"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4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原出口合同</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因错误汇入以外的其他原因产生的贸易收汇退汇，提供原出口合同。 </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24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报关单</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发生货物退运时提供进口报关单。</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bl>
    <w:p>
      <w:pPr>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（五）新出现的贸易新业态进口付汇登记申请材料清单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992"/>
        <w:gridCol w:w="1701"/>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7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rPr>
                <w:rFonts w:ascii="Times New Roman" w:hAnsi="Times New Roman" w:eastAsia="仿宋_GB2312" w:cs="Times New Roman"/>
                <w:sz w:val="24"/>
                <w:szCs w:val="24"/>
              </w:rPr>
            </w:pPr>
          </w:p>
        </w:tc>
        <w:tc>
          <w:tcPr>
            <w:tcW w:w="1701" w:type="dxa"/>
            <w:vMerge w:val="restart"/>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说明登记业务真实性和合理性的材料</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keepNext/>
              <w:keepLines/>
              <w:spacing w:before="340" w:after="330" w:line="578" w:lineRule="auto"/>
              <w:rPr>
                <w:rFonts w:ascii="Times New Roman" w:hAnsi="Times New Roman" w:eastAsia="仿宋_GB2312" w:cs="Times New Roman"/>
                <w:sz w:val="24"/>
                <w:szCs w:val="24"/>
              </w:rPr>
            </w:pPr>
          </w:p>
        </w:tc>
        <w:tc>
          <w:tcPr>
            <w:tcW w:w="1701"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bl>
    <w:p>
      <w:pPr>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 xml:space="preserve">    </w:t>
      </w:r>
      <w:r>
        <w:rPr>
          <w:rFonts w:ascii="Times New Roman" w:hAnsi="Times New Roman" w:eastAsia="仿宋_GB2312" w:cs="Times New Roman"/>
          <w:sz w:val="30"/>
          <w:szCs w:val="30"/>
        </w:rPr>
        <w:t>（六）跨国公司资金集中运营-经常项目资金集中收付和轧差净额结算业务备案申请材料清单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494"/>
        <w:gridCol w:w="1276"/>
        <w:gridCol w:w="457"/>
        <w:gridCol w:w="960"/>
        <w:gridCol w:w="2268"/>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49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2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6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26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备案申请书</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包括跨国公司及主办企业基本情况、拟开展的业务种类、成员企业名单、主办企业及成员企业股权结构情况、拟选择的合作银行情况等； </w:t>
            </w:r>
          </w:p>
        </w:tc>
        <w:tc>
          <w:tcPr>
            <w:tcW w:w="1701" w:type="dxa"/>
            <w:vMerge w:val="restart"/>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跨国公司对主办企业开展跨境资金集中运营业务的授权书</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此项材料应加盖跨国公司公章。</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主办企业与合作银行共同签署的《跨国公司跨境资金集中运营业务办理确认书》</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center"/>
          </w:tcPr>
          <w:p>
            <w:pPr>
              <w:keepNext/>
              <w:keepLines/>
              <w:spacing w:before="340" w:after="330" w:line="578" w:lineRule="auto"/>
              <w:rPr>
                <w:rFonts w:ascii="Times New Roman" w:hAnsi="Times New Roman" w:eastAsia="仿宋_GB2312" w:cs="Times New Roman"/>
                <w:sz w:val="24"/>
                <w:szCs w:val="24"/>
              </w:rPr>
            </w:pPr>
          </w:p>
        </w:tc>
        <w:tc>
          <w:tcPr>
            <w:tcW w:w="1701"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主办企业及境内成员企业营业执照</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center"/>
          </w:tcPr>
          <w:p>
            <w:pPr>
              <w:keepNext/>
              <w:keepLines/>
              <w:spacing w:before="340" w:after="330" w:line="578" w:lineRule="auto"/>
              <w:rPr>
                <w:rFonts w:ascii="Times New Roman" w:hAnsi="Times New Roman" w:eastAsia="仿宋_GB2312" w:cs="Times New Roman"/>
                <w:sz w:val="24"/>
                <w:szCs w:val="24"/>
              </w:rPr>
            </w:pPr>
          </w:p>
        </w:tc>
        <w:tc>
          <w:tcPr>
            <w:tcW w:w="1701"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境外成员企业注册文件</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非中文的同时提供中文翻译件。</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金融业务许可证及经营范围批准文件</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仅主办企业为财务公司的需提供。</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（七）跨国公司资金集中运营-经常项目资金集中收付和轧差净额结算业务变更申请材料清单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1134"/>
        <w:gridCol w:w="1559"/>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7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11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5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申请书</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5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需列明变更事项和相关内容。</w:t>
            </w:r>
          </w:p>
        </w:tc>
        <w:tc>
          <w:tcPr>
            <w:tcW w:w="1701" w:type="dxa"/>
            <w:vMerge w:val="restart"/>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加盖银行业务公章的原账户余额对账单</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5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合作银行变更时提供。</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主办企业与变更后合作银行签署的《跨国公司跨境资金集中运营业务办理确认书》</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5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合作银行变更时提供。</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778" w:type="dxa"/>
            <w:vAlign w:val="center"/>
          </w:tcPr>
          <w:p>
            <w:pPr>
              <w:jc w:val="cente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跨国公司对主办企业开展跨境资金集中运营业务的授权书</w:t>
            </w:r>
          </w:p>
        </w:tc>
        <w:tc>
          <w:tcPr>
            <w:tcW w:w="1417" w:type="dxa"/>
            <w:vAlign w:val="center"/>
          </w:tcPr>
          <w:p>
            <w:pPr>
              <w:jc w:val="cente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纸质/电子</w:t>
            </w:r>
          </w:p>
        </w:tc>
        <w:tc>
          <w:tcPr>
            <w:tcW w:w="1559" w:type="dxa"/>
            <w:vAlign w:val="center"/>
          </w:tcPr>
          <w:p>
            <w:pP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主办企业变更、成员企业新增或退出、外债和境外放款额度变更、业务种类变更时提供。</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主办企业与合作银行共同签署的《跨国公司跨境资金集中运营业务办理确认书》</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5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主办企业变更、成员企业新增或退出、业务种类变更时提供。</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主办企业及境内成员企业营业执照</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5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主办企业变更、成员企业新增或退出、业务种类变更时提供。</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境外成员企业注册文件</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5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主办企业变更、成员企业新增或退出、业务种类变更时提供；非中文的同时提供中文翻译件。</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金融业务许可证及经营范围批准文件</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5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主办企业变更、成员企业新增或退出、业务种类变更时提供；仅主办企业为财务公司的需提供。</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p>
        </w:tc>
        <w:tc>
          <w:tcPr>
            <w:tcW w:w="1778" w:type="dxa"/>
            <w:vAlign w:val="center"/>
          </w:tcPr>
          <w:p>
            <w:pPr>
              <w:jc w:val="center"/>
              <w:rPr>
                <w:rFonts w:ascii="Times New Roman" w:hAnsi="Times New Roman" w:eastAsia="仿宋_GB2312" w:cs="Times New Roman"/>
                <w:sz w:val="24"/>
                <w:szCs w:val="24"/>
              </w:rPr>
            </w:pPr>
          </w:p>
        </w:tc>
        <w:tc>
          <w:tcPr>
            <w:tcW w:w="1417" w:type="dxa"/>
            <w:vAlign w:val="center"/>
          </w:tcPr>
          <w:p>
            <w:pPr>
              <w:jc w:val="center"/>
              <w:rPr>
                <w:rFonts w:ascii="Times New Roman" w:hAnsi="Times New Roman" w:eastAsia="仿宋_GB2312" w:cs="Times New Roman"/>
                <w:sz w:val="24"/>
                <w:szCs w:val="24"/>
              </w:rPr>
            </w:pPr>
          </w:p>
        </w:tc>
        <w:tc>
          <w:tcPr>
            <w:tcW w:w="567" w:type="dxa"/>
            <w:vAlign w:val="center"/>
          </w:tcPr>
          <w:p>
            <w:pPr>
              <w:jc w:val="center"/>
              <w:rPr>
                <w:rFonts w:ascii="Times New Roman" w:hAnsi="Times New Roman" w:eastAsia="仿宋_GB2312" w:cs="Times New Roman"/>
                <w:sz w:val="24"/>
                <w:szCs w:val="24"/>
              </w:rPr>
            </w:pPr>
          </w:p>
        </w:tc>
        <w:tc>
          <w:tcPr>
            <w:tcW w:w="1134" w:type="dxa"/>
            <w:vAlign w:val="center"/>
          </w:tcPr>
          <w:p>
            <w:pPr>
              <w:jc w:val="center"/>
              <w:rPr>
                <w:rFonts w:ascii="Times New Roman" w:hAnsi="Times New Roman" w:eastAsia="仿宋_GB2312" w:cs="Times New Roman"/>
                <w:sz w:val="24"/>
                <w:szCs w:val="24"/>
              </w:rPr>
            </w:pPr>
          </w:p>
        </w:tc>
        <w:tc>
          <w:tcPr>
            <w:tcW w:w="1559" w:type="dxa"/>
            <w:vAlign w:val="center"/>
          </w:tcPr>
          <w:p>
            <w:pPr>
              <w:rPr>
                <w:rFonts w:ascii="Times New Roman" w:hAnsi="Times New Roman" w:eastAsia="仿宋_GB2312" w:cs="Times New Roman"/>
                <w:sz w:val="24"/>
                <w:szCs w:val="24"/>
              </w:rPr>
            </w:pP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（八）跨国公司资金集中运营-经常项目资金集中收付和轧差净额结算业务注销申请材料清单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992"/>
        <w:gridCol w:w="1701"/>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7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备案申请</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701"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包括跨国公司跨境资金集中运营的跨境收支及结售汇、国内资金主账户的关闭等相关情况。</w:t>
            </w:r>
          </w:p>
        </w:tc>
        <w:tc>
          <w:tcPr>
            <w:tcW w:w="1701" w:type="dxa"/>
            <w:vAlign w:val="center"/>
          </w:tcPr>
          <w:p>
            <w:pPr>
              <w:rPr>
                <w:rFonts w:ascii="Times New Roman" w:hAnsi="Times New Roman" w:eastAsia="仿宋_GB2312" w:cs="Times New Roman"/>
                <w:sz w:val="24"/>
                <w:szCs w:val="24"/>
              </w:rPr>
            </w:pPr>
          </w:p>
        </w:tc>
      </w:tr>
    </w:tbl>
    <w:p>
      <w:pPr>
        <w:rPr>
          <w:rFonts w:ascii="Times New Roman" w:hAnsi="Times New Roman" w:eastAsia="黑体" w:cs="Times New Roman"/>
          <w:sz w:val="30"/>
          <w:szCs w:val="30"/>
        </w:rPr>
      </w:pPr>
      <w:r>
        <w:rPr>
          <w:rFonts w:ascii="Times New Roman" w:hAnsi="Times New Roman" w:eastAsia="黑体" w:cs="Times New Roman"/>
          <w:sz w:val="30"/>
          <w:szCs w:val="30"/>
        </w:rPr>
        <w:t xml:space="preserve">    十、申请接受</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申请人可通过国家外汇管理局分支局提交材料。</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十一、基本办理流程</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（一）申请人提交申请；</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（二）决定是否予以受理；</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（三）不属于本机构受理范围的，出具不予受理行政许可通知书； </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（四）属于本机构受理范围的，审核申请材料是否齐全或符合法定形式；材料不全或不符合法定形式的，一次性告知补正材料，并出具行政许可补正通知书；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（五）材料齐全的，依法予以受理，并出具行政许可受理通知书；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（六）不予许可的，做出不予许可的行政许可书面决定并说明理由；予以许可的，出具贸易外汇业务登记表或备案通知书。</w:t>
      </w:r>
    </w:p>
    <w:p>
      <w:pPr>
        <w:tabs>
          <w:tab w:val="left" w:pos="615"/>
        </w:tabs>
        <w:ind w:firstLine="585"/>
        <w:rPr>
          <w:rFonts w:ascii="Times New Roman" w:hAnsi="Times New Roman" w:eastAsia="黑体" w:cs="Times New Roman"/>
          <w:sz w:val="30"/>
          <w:szCs w:val="30"/>
        </w:rPr>
      </w:pPr>
      <w:r>
        <w:rPr>
          <w:rFonts w:ascii="Times New Roman" w:hAnsi="Times New Roman" w:eastAsia="黑体" w:cs="Times New Roman"/>
          <w:sz w:val="30"/>
          <w:szCs w:val="30"/>
        </w:rPr>
        <w:t>十二、办理方式</w:t>
      </w:r>
    </w:p>
    <w:p>
      <w:pPr>
        <w:tabs>
          <w:tab w:val="left" w:pos="615"/>
        </w:tabs>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一般程序：申请、受理、审查、决定。</w:t>
      </w:r>
    </w:p>
    <w:p>
      <w:pPr>
        <w:tabs>
          <w:tab w:val="left" w:pos="615"/>
        </w:tabs>
        <w:rPr>
          <w:rFonts w:ascii="Times New Roman" w:hAnsi="Times New Roman" w:eastAsia="黑体" w:cs="Times New Roman"/>
          <w:sz w:val="30"/>
          <w:szCs w:val="30"/>
        </w:rPr>
      </w:pPr>
      <w:r>
        <w:rPr>
          <w:rFonts w:ascii="Times New Roman" w:hAnsi="Times New Roman" w:eastAsia="黑体" w:cs="Times New Roman"/>
          <w:sz w:val="30"/>
          <w:szCs w:val="30"/>
        </w:rPr>
        <w:t xml:space="preserve">    十三、审批时限</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十四、审批收费依据及标准</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十五、审批结果</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外汇局向申请企业出具贸易外汇业务登记表或备案通知书。</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十六、结果送达</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通过电话等方式通知申请企业，并通过现场领取或邮寄等方式将结果送达。</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十七、申请人权利和义务</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ind w:firstLine="600"/>
        <w:rPr>
          <w:rFonts w:hint="eastAsia" w:ascii="Times New Roman" w:hAnsi="Times New Roman" w:eastAsia="黑体" w:cs="Times New Roman"/>
          <w:sz w:val="30"/>
          <w:szCs w:val="30"/>
          <w:lang w:val="en-US" w:eastAsia="zh-CN"/>
        </w:rPr>
      </w:pPr>
      <w:r>
        <w:rPr>
          <w:rFonts w:hint="eastAsia" w:ascii="黑体" w:hAnsi="黑体" w:eastAsia="黑体" w:cs="黑体"/>
          <w:b w:val="0"/>
          <w:bCs w:val="0"/>
          <w:sz w:val="30"/>
          <w:szCs w:val="30"/>
          <w:lang w:eastAsia="zh-CN"/>
        </w:rPr>
        <w:t>十八、</w:t>
      </w:r>
      <w:r>
        <w:rPr>
          <w:rFonts w:hint="eastAsia" w:ascii="Times New Roman" w:hAnsi="Times New Roman" w:eastAsia="黑体" w:cs="Times New Roman"/>
          <w:sz w:val="30"/>
          <w:szCs w:val="30"/>
          <w:lang w:eastAsia="zh-CN"/>
        </w:rPr>
        <w:t>办公场所、</w:t>
      </w:r>
      <w:r>
        <w:rPr>
          <w:rFonts w:hint="eastAsia" w:ascii="Times New Roman" w:hAnsi="Times New Roman" w:eastAsia="黑体" w:cs="Times New Roman"/>
          <w:sz w:val="30"/>
          <w:szCs w:val="30"/>
        </w:rPr>
        <w:t>咨询途径、监督和投诉</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 窗口：国家外汇管理局山西省分局业务管理科</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办公地址：山西省太原市迎泽大街135号（中国人民银行山西省分行办公楼2208室）</w:t>
      </w:r>
    </w:p>
    <w:p>
      <w:pPr>
        <w:widowControl w:val="0"/>
        <w:numPr>
          <w:ilvl w:val="0"/>
          <w:numId w:val="1"/>
        </w:numPr>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电话：0351-4922865;0351-4922821；</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3.办公时间：周一至周五，除节假日外，上午：8：30-12：00  下午：14：30-17：30。</w:t>
      </w:r>
      <w:bookmarkStart w:id="0" w:name="_GoBack"/>
      <w:bookmarkEnd w:id="0"/>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 信件邮寄地址：国家外汇管理局山西省分局业务管理科，邮政编码030001。</w:t>
      </w:r>
    </w:p>
    <w:p>
      <w:pPr>
        <w:widowControl w:val="0"/>
        <w:wordWrap/>
        <w:adjustRightInd/>
        <w:snapToGrid/>
        <w:spacing w:line="360" w:lineRule="auto"/>
        <w:ind w:left="0" w:leftChars="0" w:right="0" w:firstLine="600" w:firstLineChars="200"/>
        <w:jc w:val="both"/>
        <w:textAlignment w:val="auto"/>
        <w:outlineLvl w:val="9"/>
        <w:rPr>
          <w:rFonts w:ascii="Times New Roman" w:hAnsi="Times New Roman" w:eastAsia="仿宋_GB2312" w:cs="Times New Roman"/>
          <w:sz w:val="30"/>
          <w:szCs w:val="30"/>
        </w:rPr>
      </w:pPr>
      <w:r>
        <w:rPr>
          <w:rFonts w:hint="eastAsia" w:ascii="仿宋_GB2312" w:hAnsi="仿宋_GB2312" w:eastAsia="仿宋_GB2312" w:cs="仿宋_GB2312"/>
          <w:sz w:val="30"/>
          <w:szCs w:val="30"/>
          <w:lang w:val="en-US" w:eastAsia="zh-CN"/>
        </w:rPr>
        <w:t>5. 网址：国家外汇管理局山西省分局官方互联网站（网址可通过</w:t>
      </w:r>
      <w:r>
        <w:rPr>
          <w:rFonts w:hint="eastAsia" w:ascii="仿宋_GB2312" w:hAnsi="仿宋_GB2312" w:eastAsia="仿宋_GB2312" w:cs="仿宋_GB2312"/>
          <w:sz w:val="30"/>
          <w:szCs w:val="30"/>
          <w:lang w:val="en-US" w:eastAsia="zh-CN"/>
        </w:rPr>
        <w:fldChar w:fldCharType="begin"/>
      </w:r>
      <w:r>
        <w:rPr>
          <w:rFonts w:hint="eastAsia" w:ascii="仿宋_GB2312" w:hAnsi="仿宋_GB2312" w:eastAsia="仿宋_GB2312" w:cs="仿宋_GB2312"/>
          <w:sz w:val="30"/>
          <w:szCs w:val="30"/>
          <w:lang w:val="en-US" w:eastAsia="zh-CN"/>
        </w:rPr>
        <w:instrText xml:space="preserve"> HYPERLINK "http://www.safe.gov.cn" </w:instrText>
      </w:r>
      <w:r>
        <w:rPr>
          <w:rFonts w:hint="eastAsia" w:ascii="仿宋_GB2312" w:hAnsi="仿宋_GB2312" w:eastAsia="仿宋_GB2312" w:cs="仿宋_GB2312"/>
          <w:sz w:val="30"/>
          <w:szCs w:val="30"/>
          <w:lang w:val="en-US" w:eastAsia="zh-CN"/>
        </w:rPr>
        <w:fldChar w:fldCharType="separate"/>
      </w:r>
      <w:r>
        <w:rPr>
          <w:rFonts w:hint="eastAsia" w:ascii="仿宋_GB2312" w:hAnsi="仿宋_GB2312" w:eastAsia="仿宋_GB2312" w:cs="仿宋_GB2312"/>
          <w:sz w:val="30"/>
          <w:szCs w:val="30"/>
          <w:lang w:val="en-US" w:eastAsia="zh-CN"/>
        </w:rPr>
        <w:t>www.safe.gov.cn</w:t>
      </w:r>
      <w:r>
        <w:rPr>
          <w:rFonts w:hint="eastAsia" w:ascii="仿宋_GB2312" w:hAnsi="仿宋_GB2312" w:eastAsia="仿宋_GB2312" w:cs="仿宋_GB2312"/>
          <w:sz w:val="30"/>
          <w:szCs w:val="30"/>
          <w:lang w:val="en-US" w:eastAsia="zh-CN"/>
        </w:rPr>
        <w:fldChar w:fldCharType="end"/>
      </w:r>
      <w:r>
        <w:rPr>
          <w:rFonts w:hint="eastAsia" w:ascii="仿宋_GB2312" w:hAnsi="仿宋_GB2312" w:eastAsia="仿宋_GB2312" w:cs="仿宋_GB2312"/>
          <w:sz w:val="30"/>
          <w:szCs w:val="30"/>
          <w:lang w:val="en-US" w:eastAsia="zh-CN"/>
        </w:rPr>
        <w:t>进行链接查找）。</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shape id="Flowchart: Terminator 78" o:spid="_x0000_s1027" type="#_x0000_t116" style="position:absolute;left:0;margin-left:-5.25pt;margin-top:4.45pt;height:70.75pt;width:99.8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申请人提出申请，并提交材料</w:t>
                  </w:r>
                </w:p>
              </w:txbxContent>
            </v:textbox>
          </v:shape>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shape id="Straight Connector 86" o:spid="_x0000_s1028" type="#_x0000_t32" style="position:absolute;left:0;margin-left:39.8pt;margin-top:12.8pt;height:43.4pt;width:0.8pt;rotation:0f;z-index:25165926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90" o:spid="_x0000_s1029" type="#_x0000_t32" style="position:absolute;left:0;flip:x;margin-left:41.45pt;margin-top:21.05pt;height:0.05pt;width:232.15pt;rotation:0f;z-index:25166028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0" o:spid="_x0000_s1030" style="position:absolute;left:0;margin-left:273.6pt;margin-top:1.6pt;height:33.7pt;width:146.45pt;rotation:0f;z-index:251661312;"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ect>
        </w:pict>
      </w:r>
    </w:p>
    <w:p>
      <w:pPr>
        <w:ind w:right="300"/>
        <w:jc w:val="left"/>
        <w:rPr>
          <w:rFonts w:ascii="Times New Roman" w:hAnsi="Times New Roman" w:eastAsia="仿宋_GB2312" w:cs="Times New Roman"/>
          <w:sz w:val="30"/>
          <w:szCs w:val="30"/>
        </w:rPr>
        <w:sectPr>
          <w:footerReference r:id="rId5" w:type="default"/>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kern w:val="2"/>
          <w:sz w:val="30"/>
          <w:szCs w:val="30"/>
          <w:lang w:val="en-US" w:eastAsia="zh-CN" w:bidi="ar-SA"/>
        </w:rPr>
        <w:pict>
          <v:shape id="Straight Connector 94" o:spid="_x0000_s1031" type="#_x0000_t32" style="position:absolute;left:0;margin-left:41.45pt;margin-top:125.3pt;height:57.55pt;width:0.05pt;rotation:0f;z-index:251662336;"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88" o:spid="_x0000_s1032" type="#_x0000_t32" style="position:absolute;left:0;margin-left:99.95pt;margin-top:92.5pt;height:0.05pt;width:52pt;rotation:0f;z-index:25166336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2" o:spid="_x0000_s1033" style="position:absolute;left:0;margin-left:151.95pt;margin-top:80pt;height:45.3pt;width:268.1pt;rotation:0f;z-index:251664384;"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ect>
        </w:pict>
      </w:r>
      <w:r>
        <w:rPr>
          <w:rFonts w:ascii="Times New Roman" w:hAnsi="Times New Roman" w:eastAsia="仿宋_GB2312" w:cs="Times New Roman"/>
          <w:kern w:val="2"/>
          <w:sz w:val="30"/>
          <w:szCs w:val="30"/>
          <w:lang w:val="en-US" w:eastAsia="zh-CN" w:bidi="ar-SA"/>
        </w:rPr>
        <w:pict>
          <v:shape id="Flowchart: Terminator 85" o:spid="_x0000_s1034" type="#_x0000_t116" style="position:absolute;left:0;margin-left:-5.25pt;margin-top:375.2pt;height:63.55pt;width:197.6pt;rotation:0f;z-index:25166540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予以许可</w:t>
                  </w:r>
                </w:p>
              </w:txbxContent>
            </v:textbox>
          </v:shape>
        </w:pict>
      </w:r>
      <w:r>
        <w:rPr>
          <w:rFonts w:ascii="Times New Roman" w:hAnsi="Times New Roman" w:eastAsia="仿宋_GB2312" w:cs="Times New Roman"/>
          <w:kern w:val="2"/>
          <w:sz w:val="30"/>
          <w:szCs w:val="30"/>
          <w:lang w:val="en-US" w:eastAsia="zh-CN" w:bidi="ar-SA"/>
        </w:rPr>
        <w:pict>
          <v:shape id="Flowchart: Terminator 84" o:spid="_x0000_s1035" type="#_x0000_t116" style="position:absolute;left:0;margin-left:198.8pt;margin-top:375.2pt;height:63.55pt;width:180.85pt;rotation:0f;z-index:25166643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w:t>
                  </w:r>
                </w:p>
              </w:txbxContent>
            </v:textbox>
          </v:shape>
        </w:pict>
      </w:r>
      <w:r>
        <w:rPr>
          <w:rFonts w:ascii="Times New Roman" w:hAnsi="Times New Roman" w:eastAsia="仿宋_GB2312" w:cs="Times New Roman"/>
          <w:kern w:val="2"/>
          <w:sz w:val="30"/>
          <w:szCs w:val="30"/>
          <w:lang w:val="en-US" w:eastAsia="zh-CN" w:bidi="ar-SA"/>
        </w:rPr>
        <w:pict>
          <v:shape id="Straight Connector 92" o:spid="_x0000_s1036" type="#_x0000_t32" style="position:absolute;left:0;margin-left:237.25pt;margin-top:323.1pt;height:52.1pt;width:0.05pt;rotation:0f;z-index:251667456;"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93" o:spid="_x0000_s1037" type="#_x0000_t32" style="position:absolute;left:0;margin-left:117.65pt;margin-top:323.1pt;height:52.1pt;width:0.05pt;rotation:0f;z-index:25166848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Flowchart: Decision 96" o:spid="_x0000_s1038" type="#_x0000_t110" style="position:absolute;left:0;margin-left:94.55pt;margin-top:265.4pt;height:86.2pt;width:166.25pt;rotation:0f;z-index:25166950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
                  <w:pPr>
                    <w:ind w:firstLine="315" w:firstLineChars="150"/>
                  </w:pPr>
                  <w:r>
                    <w:rPr>
                      <w:rFonts w:hint="eastAsia"/>
                    </w:rPr>
                    <w:t>审查报批</w:t>
                  </w:r>
                </w:p>
              </w:txbxContent>
            </v:textbox>
          </v:shape>
        </w:pict>
      </w:r>
      <w:r>
        <w:rPr>
          <w:rFonts w:ascii="Times New Roman" w:hAnsi="Times New Roman" w:eastAsia="仿宋_GB2312" w:cs="Times New Roman"/>
          <w:kern w:val="2"/>
          <w:sz w:val="30"/>
          <w:szCs w:val="30"/>
          <w:lang w:val="en-US" w:eastAsia="zh-CN" w:bidi="ar-SA"/>
        </w:rPr>
        <w:pict>
          <v:shape id="Straight Connector 91" o:spid="_x0000_s1039" type="#_x0000_t32" style="position:absolute;left:0;margin-left:179.6pt;margin-top:231.45pt;height:33.95pt;width:0.05pt;rotation:0f;z-index:25167052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87" o:spid="_x0000_s1040" type="#_x0000_t32" style="position:absolute;left:0;margin-left:103.8pt;margin-top:61.4pt;height:0.05pt;width:48.15pt;rotation:0f;z-index:251671552;"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Flowchart: Decision 79" o:spid="_x0000_s1041" type="#_x0000_t110" style="position:absolute;left:0;margin-left:-42.55pt;margin-top:25pt;height:100.3pt;width:166.25pt;rotation:0f;z-index:25167257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接件并于5个工作日内作出是否受理决定</w:t>
                  </w:r>
                </w:p>
              </w:txbxContent>
            </v:textbox>
          </v:shape>
        </w:pict>
      </w:r>
      <w:r>
        <w:rPr>
          <w:rFonts w:ascii="Times New Roman" w:hAnsi="Times New Roman" w:eastAsia="仿宋_GB2312" w:cs="Times New Roman"/>
          <w:kern w:val="2"/>
          <w:sz w:val="30"/>
          <w:szCs w:val="30"/>
          <w:lang w:val="en-US" w:eastAsia="zh-CN" w:bidi="ar-SA"/>
        </w:rPr>
        <w:pict>
          <v:rect id="Rectangle 83" o:spid="_x0000_s1042" style="position:absolute;left:0;margin-left:81.7pt;margin-top:162.05pt;height:69.4pt;width:210.9pt;rotation:0f;z-index:251673600;"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材料齐全的，依法予以受理</w:t>
                  </w:r>
                </w:p>
                <w:p/>
              </w:txbxContent>
            </v:textbox>
          </v:rect>
        </w:pict>
      </w:r>
      <w:r>
        <w:rPr>
          <w:rFonts w:ascii="Times New Roman" w:hAnsi="Times New Roman" w:eastAsia="仿宋_GB2312" w:cs="Times New Roman"/>
          <w:kern w:val="2"/>
          <w:sz w:val="30"/>
          <w:szCs w:val="30"/>
          <w:lang w:val="en-US" w:eastAsia="zh-CN" w:bidi="ar-SA"/>
        </w:rPr>
        <w:pict>
          <v:shape id="Straight Connector 95" o:spid="_x0000_s1043" type="#_x0000_t32" style="position:absolute;left:0;margin-left:40.6pt;margin-top:182.85pt;height:0.05pt;width:41.1pt;rotation:0f;z-index:25167462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89" o:spid="_x0000_s1044" type="#_x0000_t32" style="position:absolute;left:0;flip:y;margin-left:345.35pt;margin-top:4.1pt;height:44.75pt;width:0.05pt;rotation:0f;z-index:25167564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1" o:spid="_x0000_s1045" style="position:absolute;left:0;margin-left:151.95pt;margin-top:48.85pt;height:25pt;width:268.1pt;rotation:0f;z-index:251676672;"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ect>
        </w:pict>
      </w:r>
    </w:p>
    <w:p>
      <w:pPr>
        <w:widowControl/>
        <w:spacing w:line="384"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附录二（</w:t>
      </w:r>
      <w:r>
        <w:rPr>
          <w:rFonts w:ascii="Times New Roman" w:hAnsi="Times New Roman" w:eastAsia="仿宋_GB2312" w:cs="Times New Roman"/>
          <w:kern w:val="0"/>
          <w:sz w:val="30"/>
          <w:szCs w:val="30"/>
        </w:rPr>
        <w:t>材料示范文本</w:t>
      </w:r>
      <w:r>
        <w:rPr>
          <w:rFonts w:ascii="Times New Roman" w:hAnsi="Times New Roman" w:eastAsia="仿宋_GB2312" w:cs="Times New Roman"/>
          <w:sz w:val="30"/>
          <w:szCs w:val="30"/>
        </w:rPr>
        <w:t>）</w:t>
      </w:r>
    </w:p>
    <w:p>
      <w:pPr>
        <w:widowControl/>
        <w:spacing w:line="384" w:lineRule="auto"/>
        <w:jc w:val="center"/>
        <w:rPr>
          <w:rFonts w:ascii="Times New Roman" w:hAnsi="Times New Roman" w:eastAsia="黑体" w:cs="Times New Roman"/>
          <w:kern w:val="0"/>
          <w:sz w:val="30"/>
          <w:szCs w:val="30"/>
        </w:rPr>
      </w:pPr>
    </w:p>
    <w:p>
      <w:pPr>
        <w:widowControl/>
        <w:spacing w:line="384" w:lineRule="auto"/>
        <w:jc w:val="center"/>
        <w:rPr>
          <w:rFonts w:ascii="Times New Roman" w:hAnsi="Times New Roman" w:eastAsia="黑体" w:cs="Times New Roman"/>
          <w:kern w:val="0"/>
          <w:sz w:val="30"/>
          <w:szCs w:val="30"/>
        </w:rPr>
      </w:pPr>
      <w:r>
        <w:rPr>
          <w:rFonts w:ascii="Times New Roman" w:hAnsi="Times New Roman" w:eastAsia="黑体" w:cs="Times New Roman"/>
          <w:kern w:val="0"/>
          <w:sz w:val="30"/>
          <w:szCs w:val="30"/>
        </w:rPr>
        <w:t>申请书</w:t>
      </w:r>
    </w:p>
    <w:p>
      <w:pPr>
        <w:widowControl/>
        <w:spacing w:line="384" w:lineRule="auto"/>
        <w:jc w:val="center"/>
        <w:rPr>
          <w:rFonts w:ascii="Times New Roman" w:hAnsi="Times New Roman" w:eastAsia="黑体"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国家外汇管理局XX分（支）局：</w:t>
      </w:r>
      <w:r>
        <w:rPr>
          <w:rFonts w:ascii="Times New Roman" w:hAnsi="Times New Roman" w:eastAsia="仿宋_GB2312" w:cs="Times New Roman"/>
          <w:kern w:val="0"/>
          <w:sz w:val="30"/>
          <w:szCs w:val="30"/>
        </w:rPr>
        <w:br/>
      </w:r>
      <w:r>
        <w:rPr>
          <w:rFonts w:ascii="Times New Roman" w:hAnsi="Times New Roman" w:eastAsia="仿宋_GB2312" w:cs="Times New Roman"/>
          <w:kern w:val="0"/>
          <w:sz w:val="30"/>
          <w:szCs w:val="30"/>
        </w:rPr>
        <w:t>　　一、申请业务的基本情况</w:t>
      </w:r>
    </w:p>
    <w:p>
      <w:pPr>
        <w:widowControl/>
        <w:spacing w:line="384" w:lineRule="auto"/>
        <w:ind w:firstLine="6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包括但不限于：业务基本情况介绍、业务类别、结算方式、经办金融机构名称、币种和金额等。</w:t>
      </w:r>
    </w:p>
    <w:p>
      <w:pPr>
        <w:widowControl/>
        <w:spacing w:line="384" w:lineRule="auto"/>
        <w:ind w:firstLine="6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二、申请事项</w:t>
      </w:r>
    </w:p>
    <w:p>
      <w:pPr>
        <w:widowControl/>
        <w:spacing w:line="384" w:lineRule="auto"/>
        <w:ind w:firstLine="6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包括但不限于：需登记的事项，原因（如按法规规定需说明原因的）等其他内容。</w:t>
      </w:r>
    </w:p>
    <w:p>
      <w:pPr>
        <w:widowControl/>
        <w:spacing w:line="384" w:lineRule="auto"/>
        <w:ind w:firstLine="6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三、其他需说明的情况（如无，可不填写）</w:t>
      </w:r>
    </w:p>
    <w:p>
      <w:pPr>
        <w:widowControl/>
        <w:spacing w:line="384" w:lineRule="auto"/>
        <w:ind w:firstLine="600"/>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r>
    </w:p>
    <w:p>
      <w:pPr>
        <w:widowControl/>
        <w:spacing w:line="384" w:lineRule="auto"/>
        <w:ind w:right="600"/>
        <w:jc w:val="cente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                                 单位（盖章）：</w:t>
      </w:r>
    </w:p>
    <w:p>
      <w:pPr>
        <w:widowControl/>
        <w:spacing w:line="384" w:lineRule="auto"/>
        <w:ind w:right="900" w:firstLine="5400" w:firstLineChars="18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年  月  日</w:t>
      </w:r>
    </w:p>
    <w:p>
      <w:pPr>
        <w:widowControl/>
        <w:spacing w:line="384" w:lineRule="auto"/>
        <w:ind w:right="900" w:firstLine="5400" w:firstLineChars="1800"/>
        <w:rPr>
          <w:rFonts w:ascii="Times New Roman" w:hAnsi="Times New Roman" w:eastAsia="仿宋_GB2312" w:cs="Times New Roman"/>
          <w:kern w:val="0"/>
          <w:sz w:val="30"/>
          <w:szCs w:val="30"/>
        </w:rPr>
      </w:pPr>
    </w:p>
    <w:p>
      <w:pPr>
        <w:rPr>
          <w:rFonts w:ascii="Times New Roman" w:hAnsi="Times New Roman" w:cs="Times New Roman"/>
        </w:rPr>
      </w:pPr>
    </w:p>
    <w:p>
      <w:pPr>
        <w:rPr>
          <w:rFonts w:ascii="Times New Roman" w:hAnsi="Times New Roman" w:cs="Times New Roman"/>
        </w:rPr>
      </w:pPr>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t>1</w:t>
    </w:r>
    <w:r>
      <w:rPr>
        <w:lang w:val="zh-CN"/>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t>2</w:t>
    </w:r>
    <w:r>
      <w:rPr>
        <w:lang w:val="zh-CN"/>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t>14</w:t>
    </w:r>
    <w:r>
      <w:rPr>
        <w:lang w:val="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30588422">
    <w:nsid w:val="6130CE06"/>
    <w:multiLevelType w:val="singleLevel"/>
    <w:tmpl w:val="6130CE06"/>
    <w:lvl w:ilvl="0" w:tentative="1">
      <w:start w:val="2"/>
      <w:numFmt w:val="decimal"/>
      <w:suff w:val="space"/>
      <w:lvlText w:val="%1."/>
      <w:lvlJc w:val="left"/>
    </w:lvl>
  </w:abstractNum>
  <w:num w:numId="1">
    <w:abstractNumId w:val="16305884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9B19B3"/>
    <w:rsid w:val="000003C0"/>
    <w:rsid w:val="000021D6"/>
    <w:rsid w:val="00004BD5"/>
    <w:rsid w:val="00007A67"/>
    <w:rsid w:val="000233D5"/>
    <w:rsid w:val="00027E45"/>
    <w:rsid w:val="000351A4"/>
    <w:rsid w:val="00037A07"/>
    <w:rsid w:val="0004414D"/>
    <w:rsid w:val="00050681"/>
    <w:rsid w:val="00061C5F"/>
    <w:rsid w:val="000652D6"/>
    <w:rsid w:val="00070716"/>
    <w:rsid w:val="000B0E34"/>
    <w:rsid w:val="000D3467"/>
    <w:rsid w:val="000D61BB"/>
    <w:rsid w:val="000E2AD6"/>
    <w:rsid w:val="000E2D98"/>
    <w:rsid w:val="000E55BC"/>
    <w:rsid w:val="000E5910"/>
    <w:rsid w:val="000F1C17"/>
    <w:rsid w:val="000F24B5"/>
    <w:rsid w:val="00102A7C"/>
    <w:rsid w:val="00106460"/>
    <w:rsid w:val="001156C5"/>
    <w:rsid w:val="001172B3"/>
    <w:rsid w:val="00134BF3"/>
    <w:rsid w:val="00140DE8"/>
    <w:rsid w:val="001418D3"/>
    <w:rsid w:val="001437E6"/>
    <w:rsid w:val="00154329"/>
    <w:rsid w:val="00163202"/>
    <w:rsid w:val="001870AC"/>
    <w:rsid w:val="00193A89"/>
    <w:rsid w:val="00195B37"/>
    <w:rsid w:val="001A1E83"/>
    <w:rsid w:val="001A61DE"/>
    <w:rsid w:val="001C084E"/>
    <w:rsid w:val="001C2B84"/>
    <w:rsid w:val="001C3568"/>
    <w:rsid w:val="001C4BB1"/>
    <w:rsid w:val="001D095F"/>
    <w:rsid w:val="001D2DD9"/>
    <w:rsid w:val="001D56F0"/>
    <w:rsid w:val="001D5C07"/>
    <w:rsid w:val="001E37D7"/>
    <w:rsid w:val="001F1B4B"/>
    <w:rsid w:val="001F2A75"/>
    <w:rsid w:val="00212F1A"/>
    <w:rsid w:val="00215F91"/>
    <w:rsid w:val="002178A9"/>
    <w:rsid w:val="002226D7"/>
    <w:rsid w:val="0023361F"/>
    <w:rsid w:val="00233CB8"/>
    <w:rsid w:val="00233F9E"/>
    <w:rsid w:val="00235C6D"/>
    <w:rsid w:val="002453CB"/>
    <w:rsid w:val="00253212"/>
    <w:rsid w:val="00254875"/>
    <w:rsid w:val="00256B77"/>
    <w:rsid w:val="002654CB"/>
    <w:rsid w:val="00266E25"/>
    <w:rsid w:val="00273E50"/>
    <w:rsid w:val="002756E4"/>
    <w:rsid w:val="002A0834"/>
    <w:rsid w:val="002B0553"/>
    <w:rsid w:val="002B05F7"/>
    <w:rsid w:val="002B3F08"/>
    <w:rsid w:val="002B4E65"/>
    <w:rsid w:val="002C7EAF"/>
    <w:rsid w:val="002F2577"/>
    <w:rsid w:val="002F6202"/>
    <w:rsid w:val="00316E50"/>
    <w:rsid w:val="00316F0E"/>
    <w:rsid w:val="00321272"/>
    <w:rsid w:val="00325547"/>
    <w:rsid w:val="00326B8C"/>
    <w:rsid w:val="003314E4"/>
    <w:rsid w:val="00331E1E"/>
    <w:rsid w:val="003371EB"/>
    <w:rsid w:val="00337ED9"/>
    <w:rsid w:val="00345800"/>
    <w:rsid w:val="003508A5"/>
    <w:rsid w:val="00354A7C"/>
    <w:rsid w:val="00364BB9"/>
    <w:rsid w:val="00377012"/>
    <w:rsid w:val="00387FD0"/>
    <w:rsid w:val="00396CD5"/>
    <w:rsid w:val="003A1721"/>
    <w:rsid w:val="003A2E79"/>
    <w:rsid w:val="003A4630"/>
    <w:rsid w:val="003A496B"/>
    <w:rsid w:val="003B1325"/>
    <w:rsid w:val="003B6057"/>
    <w:rsid w:val="003C3480"/>
    <w:rsid w:val="003C5C1F"/>
    <w:rsid w:val="003D1EDA"/>
    <w:rsid w:val="003D1F9B"/>
    <w:rsid w:val="003D2BBB"/>
    <w:rsid w:val="003D3BB2"/>
    <w:rsid w:val="003D7B66"/>
    <w:rsid w:val="00404086"/>
    <w:rsid w:val="0040580D"/>
    <w:rsid w:val="00413782"/>
    <w:rsid w:val="00417C88"/>
    <w:rsid w:val="004311DF"/>
    <w:rsid w:val="00436919"/>
    <w:rsid w:val="00437717"/>
    <w:rsid w:val="0044021E"/>
    <w:rsid w:val="00445A64"/>
    <w:rsid w:val="0045411C"/>
    <w:rsid w:val="004573E4"/>
    <w:rsid w:val="00460F9A"/>
    <w:rsid w:val="004735FC"/>
    <w:rsid w:val="004924A7"/>
    <w:rsid w:val="004935B2"/>
    <w:rsid w:val="00497B08"/>
    <w:rsid w:val="00497FC6"/>
    <w:rsid w:val="004A6503"/>
    <w:rsid w:val="004B1BDA"/>
    <w:rsid w:val="004B3A9F"/>
    <w:rsid w:val="004C5477"/>
    <w:rsid w:val="004D3F83"/>
    <w:rsid w:val="004E4AD4"/>
    <w:rsid w:val="004E746C"/>
    <w:rsid w:val="004E7E2D"/>
    <w:rsid w:val="00512742"/>
    <w:rsid w:val="00512786"/>
    <w:rsid w:val="00514ABC"/>
    <w:rsid w:val="005263C0"/>
    <w:rsid w:val="00544909"/>
    <w:rsid w:val="00551A5A"/>
    <w:rsid w:val="0056706F"/>
    <w:rsid w:val="00567128"/>
    <w:rsid w:val="005845DF"/>
    <w:rsid w:val="00584DF2"/>
    <w:rsid w:val="0058649D"/>
    <w:rsid w:val="00593352"/>
    <w:rsid w:val="00595487"/>
    <w:rsid w:val="005A32AB"/>
    <w:rsid w:val="005A3A70"/>
    <w:rsid w:val="005A61D4"/>
    <w:rsid w:val="005B322C"/>
    <w:rsid w:val="005C4A17"/>
    <w:rsid w:val="005E1F6F"/>
    <w:rsid w:val="005E6464"/>
    <w:rsid w:val="005F1522"/>
    <w:rsid w:val="005F1DCD"/>
    <w:rsid w:val="005F3C89"/>
    <w:rsid w:val="005F5952"/>
    <w:rsid w:val="006017F9"/>
    <w:rsid w:val="00603617"/>
    <w:rsid w:val="00611E81"/>
    <w:rsid w:val="0064768C"/>
    <w:rsid w:val="006509E6"/>
    <w:rsid w:val="00654AA7"/>
    <w:rsid w:val="006553EF"/>
    <w:rsid w:val="006603EC"/>
    <w:rsid w:val="006667EE"/>
    <w:rsid w:val="006675D3"/>
    <w:rsid w:val="00673F17"/>
    <w:rsid w:val="00675C64"/>
    <w:rsid w:val="006847AE"/>
    <w:rsid w:val="00693E03"/>
    <w:rsid w:val="00696646"/>
    <w:rsid w:val="00696A7B"/>
    <w:rsid w:val="006B1D92"/>
    <w:rsid w:val="006B28AD"/>
    <w:rsid w:val="006B3076"/>
    <w:rsid w:val="006B5EF5"/>
    <w:rsid w:val="006B6370"/>
    <w:rsid w:val="006B71D2"/>
    <w:rsid w:val="006C4C39"/>
    <w:rsid w:val="006C5121"/>
    <w:rsid w:val="006D3427"/>
    <w:rsid w:val="006D6A5B"/>
    <w:rsid w:val="006E7C82"/>
    <w:rsid w:val="006F61C6"/>
    <w:rsid w:val="0071311B"/>
    <w:rsid w:val="007157B6"/>
    <w:rsid w:val="0072541C"/>
    <w:rsid w:val="00732949"/>
    <w:rsid w:val="0073340E"/>
    <w:rsid w:val="00735659"/>
    <w:rsid w:val="00735A28"/>
    <w:rsid w:val="007510E5"/>
    <w:rsid w:val="007544BC"/>
    <w:rsid w:val="007632A0"/>
    <w:rsid w:val="007634FF"/>
    <w:rsid w:val="0076451B"/>
    <w:rsid w:val="007704CD"/>
    <w:rsid w:val="0078686C"/>
    <w:rsid w:val="00795D93"/>
    <w:rsid w:val="007A1978"/>
    <w:rsid w:val="007B0E48"/>
    <w:rsid w:val="007B0EBE"/>
    <w:rsid w:val="007B6675"/>
    <w:rsid w:val="007D1D7B"/>
    <w:rsid w:val="007E7441"/>
    <w:rsid w:val="007F233E"/>
    <w:rsid w:val="0080044E"/>
    <w:rsid w:val="0081373A"/>
    <w:rsid w:val="00815287"/>
    <w:rsid w:val="00824D07"/>
    <w:rsid w:val="008269C3"/>
    <w:rsid w:val="00827911"/>
    <w:rsid w:val="00832D42"/>
    <w:rsid w:val="00833A95"/>
    <w:rsid w:val="00834DF4"/>
    <w:rsid w:val="00837990"/>
    <w:rsid w:val="00841DE9"/>
    <w:rsid w:val="00842C2F"/>
    <w:rsid w:val="00846D5D"/>
    <w:rsid w:val="00864463"/>
    <w:rsid w:val="00865B37"/>
    <w:rsid w:val="00871300"/>
    <w:rsid w:val="00871BB2"/>
    <w:rsid w:val="0087457D"/>
    <w:rsid w:val="008767C3"/>
    <w:rsid w:val="00876926"/>
    <w:rsid w:val="008A068A"/>
    <w:rsid w:val="008A0A76"/>
    <w:rsid w:val="008A53DB"/>
    <w:rsid w:val="008A6143"/>
    <w:rsid w:val="008A6DDB"/>
    <w:rsid w:val="008A6EEC"/>
    <w:rsid w:val="008B019D"/>
    <w:rsid w:val="008B4359"/>
    <w:rsid w:val="008C33D3"/>
    <w:rsid w:val="008D285E"/>
    <w:rsid w:val="008E0D30"/>
    <w:rsid w:val="008E324F"/>
    <w:rsid w:val="008E57E6"/>
    <w:rsid w:val="008E6700"/>
    <w:rsid w:val="008F3E08"/>
    <w:rsid w:val="008F5475"/>
    <w:rsid w:val="00916523"/>
    <w:rsid w:val="009245CA"/>
    <w:rsid w:val="009347F8"/>
    <w:rsid w:val="009379DE"/>
    <w:rsid w:val="00945AC3"/>
    <w:rsid w:val="009516B1"/>
    <w:rsid w:val="009545B6"/>
    <w:rsid w:val="009568D7"/>
    <w:rsid w:val="00960764"/>
    <w:rsid w:val="009640DB"/>
    <w:rsid w:val="00966422"/>
    <w:rsid w:val="00970C40"/>
    <w:rsid w:val="009732FA"/>
    <w:rsid w:val="00976900"/>
    <w:rsid w:val="00977A16"/>
    <w:rsid w:val="00981057"/>
    <w:rsid w:val="00984619"/>
    <w:rsid w:val="009849B6"/>
    <w:rsid w:val="00985C45"/>
    <w:rsid w:val="00986690"/>
    <w:rsid w:val="0098731F"/>
    <w:rsid w:val="009976AB"/>
    <w:rsid w:val="009A32EE"/>
    <w:rsid w:val="009A6053"/>
    <w:rsid w:val="009B0566"/>
    <w:rsid w:val="009B19B3"/>
    <w:rsid w:val="009B4EC4"/>
    <w:rsid w:val="009D2CA3"/>
    <w:rsid w:val="009D7865"/>
    <w:rsid w:val="009F0EE6"/>
    <w:rsid w:val="00A011E0"/>
    <w:rsid w:val="00A019DC"/>
    <w:rsid w:val="00A053EC"/>
    <w:rsid w:val="00A20682"/>
    <w:rsid w:val="00A20869"/>
    <w:rsid w:val="00A21B4B"/>
    <w:rsid w:val="00A23CC9"/>
    <w:rsid w:val="00A31633"/>
    <w:rsid w:val="00A333A8"/>
    <w:rsid w:val="00A33C4E"/>
    <w:rsid w:val="00A42BA0"/>
    <w:rsid w:val="00A437F1"/>
    <w:rsid w:val="00A4638A"/>
    <w:rsid w:val="00A56380"/>
    <w:rsid w:val="00A724BB"/>
    <w:rsid w:val="00A76F2C"/>
    <w:rsid w:val="00A828DC"/>
    <w:rsid w:val="00A85917"/>
    <w:rsid w:val="00A86C39"/>
    <w:rsid w:val="00AA2782"/>
    <w:rsid w:val="00AB1454"/>
    <w:rsid w:val="00AC2C69"/>
    <w:rsid w:val="00AD6356"/>
    <w:rsid w:val="00AD7F95"/>
    <w:rsid w:val="00AE1454"/>
    <w:rsid w:val="00AE1E55"/>
    <w:rsid w:val="00AF3753"/>
    <w:rsid w:val="00AF57E1"/>
    <w:rsid w:val="00B03FA1"/>
    <w:rsid w:val="00B047C5"/>
    <w:rsid w:val="00B063D5"/>
    <w:rsid w:val="00B11981"/>
    <w:rsid w:val="00B14564"/>
    <w:rsid w:val="00B150F1"/>
    <w:rsid w:val="00B1706B"/>
    <w:rsid w:val="00B241DC"/>
    <w:rsid w:val="00B24922"/>
    <w:rsid w:val="00B327C8"/>
    <w:rsid w:val="00B35ADB"/>
    <w:rsid w:val="00B37501"/>
    <w:rsid w:val="00B43476"/>
    <w:rsid w:val="00B44E28"/>
    <w:rsid w:val="00B525C6"/>
    <w:rsid w:val="00B61130"/>
    <w:rsid w:val="00B614A1"/>
    <w:rsid w:val="00B73A28"/>
    <w:rsid w:val="00B84802"/>
    <w:rsid w:val="00B87216"/>
    <w:rsid w:val="00B94AEF"/>
    <w:rsid w:val="00BA5B48"/>
    <w:rsid w:val="00BB3C0B"/>
    <w:rsid w:val="00BB6FB7"/>
    <w:rsid w:val="00BB71AE"/>
    <w:rsid w:val="00BC4ACD"/>
    <w:rsid w:val="00BD1960"/>
    <w:rsid w:val="00BE47E8"/>
    <w:rsid w:val="00BF58A4"/>
    <w:rsid w:val="00BF69EA"/>
    <w:rsid w:val="00C01288"/>
    <w:rsid w:val="00C20EC9"/>
    <w:rsid w:val="00C266D2"/>
    <w:rsid w:val="00C26BC0"/>
    <w:rsid w:val="00C314B5"/>
    <w:rsid w:val="00C31ECE"/>
    <w:rsid w:val="00C34F82"/>
    <w:rsid w:val="00C4111F"/>
    <w:rsid w:val="00C5180B"/>
    <w:rsid w:val="00C545CE"/>
    <w:rsid w:val="00C5521A"/>
    <w:rsid w:val="00C57574"/>
    <w:rsid w:val="00C659B4"/>
    <w:rsid w:val="00C66EDA"/>
    <w:rsid w:val="00C71261"/>
    <w:rsid w:val="00C903FE"/>
    <w:rsid w:val="00C90E8C"/>
    <w:rsid w:val="00C95743"/>
    <w:rsid w:val="00CA4D41"/>
    <w:rsid w:val="00CA5928"/>
    <w:rsid w:val="00CB1ED8"/>
    <w:rsid w:val="00CB751C"/>
    <w:rsid w:val="00CC02F5"/>
    <w:rsid w:val="00CC2FE6"/>
    <w:rsid w:val="00CD6F3B"/>
    <w:rsid w:val="00CE1482"/>
    <w:rsid w:val="00CE55F6"/>
    <w:rsid w:val="00CF249D"/>
    <w:rsid w:val="00CF5E83"/>
    <w:rsid w:val="00D007CE"/>
    <w:rsid w:val="00D01106"/>
    <w:rsid w:val="00D07C35"/>
    <w:rsid w:val="00D143B3"/>
    <w:rsid w:val="00D16C12"/>
    <w:rsid w:val="00D224E4"/>
    <w:rsid w:val="00D3006E"/>
    <w:rsid w:val="00D327EC"/>
    <w:rsid w:val="00D3615F"/>
    <w:rsid w:val="00D402BA"/>
    <w:rsid w:val="00D408D0"/>
    <w:rsid w:val="00D55E8C"/>
    <w:rsid w:val="00D80592"/>
    <w:rsid w:val="00D81AB8"/>
    <w:rsid w:val="00D85E50"/>
    <w:rsid w:val="00D92ED1"/>
    <w:rsid w:val="00DA5B01"/>
    <w:rsid w:val="00DB2D9A"/>
    <w:rsid w:val="00DD10B4"/>
    <w:rsid w:val="00DD4792"/>
    <w:rsid w:val="00DD6A30"/>
    <w:rsid w:val="00DE791B"/>
    <w:rsid w:val="00DF15BD"/>
    <w:rsid w:val="00DF7356"/>
    <w:rsid w:val="00E02AE9"/>
    <w:rsid w:val="00E049C8"/>
    <w:rsid w:val="00E129F8"/>
    <w:rsid w:val="00E144BB"/>
    <w:rsid w:val="00E27EE9"/>
    <w:rsid w:val="00E30DEB"/>
    <w:rsid w:val="00E33EFE"/>
    <w:rsid w:val="00E430A6"/>
    <w:rsid w:val="00E46A26"/>
    <w:rsid w:val="00E505E0"/>
    <w:rsid w:val="00E55B0D"/>
    <w:rsid w:val="00E61CED"/>
    <w:rsid w:val="00E645AF"/>
    <w:rsid w:val="00E75B2F"/>
    <w:rsid w:val="00E77119"/>
    <w:rsid w:val="00E92470"/>
    <w:rsid w:val="00E955CC"/>
    <w:rsid w:val="00EA12C1"/>
    <w:rsid w:val="00EA2A2D"/>
    <w:rsid w:val="00EA3634"/>
    <w:rsid w:val="00EA5CDF"/>
    <w:rsid w:val="00EA6B80"/>
    <w:rsid w:val="00EB156E"/>
    <w:rsid w:val="00EB574D"/>
    <w:rsid w:val="00EB6DFA"/>
    <w:rsid w:val="00EC0133"/>
    <w:rsid w:val="00EC36EB"/>
    <w:rsid w:val="00EC7A79"/>
    <w:rsid w:val="00ED3C09"/>
    <w:rsid w:val="00EE1E1E"/>
    <w:rsid w:val="00EE29F0"/>
    <w:rsid w:val="00EE36F3"/>
    <w:rsid w:val="00EE69DD"/>
    <w:rsid w:val="00EF5BC8"/>
    <w:rsid w:val="00F005E2"/>
    <w:rsid w:val="00F10FD7"/>
    <w:rsid w:val="00F16F75"/>
    <w:rsid w:val="00F201F4"/>
    <w:rsid w:val="00F21D92"/>
    <w:rsid w:val="00F32657"/>
    <w:rsid w:val="00F36247"/>
    <w:rsid w:val="00F405D0"/>
    <w:rsid w:val="00F4072A"/>
    <w:rsid w:val="00F416D6"/>
    <w:rsid w:val="00F424E1"/>
    <w:rsid w:val="00F45FB3"/>
    <w:rsid w:val="00F50CE9"/>
    <w:rsid w:val="00F52218"/>
    <w:rsid w:val="00F53245"/>
    <w:rsid w:val="00F5552D"/>
    <w:rsid w:val="00F61D32"/>
    <w:rsid w:val="00F622F9"/>
    <w:rsid w:val="00F62A8B"/>
    <w:rsid w:val="00F6439F"/>
    <w:rsid w:val="00F8030E"/>
    <w:rsid w:val="00F8305D"/>
    <w:rsid w:val="00F85E60"/>
    <w:rsid w:val="00F87754"/>
    <w:rsid w:val="00FA48B7"/>
    <w:rsid w:val="00FC6843"/>
    <w:rsid w:val="00FC754C"/>
    <w:rsid w:val="00FD19D2"/>
    <w:rsid w:val="00FF083E"/>
    <w:rsid w:val="00FF35CC"/>
    <w:rsid w:val="03B53B4B"/>
    <w:rsid w:val="08474EB0"/>
    <w:rsid w:val="0EE565C0"/>
    <w:rsid w:val="11311F96"/>
    <w:rsid w:val="11F511F9"/>
    <w:rsid w:val="372C47DC"/>
    <w:rsid w:val="52C303BB"/>
    <w:rsid w:val="69BD5C55"/>
    <w:rsid w:val="6A9E19AC"/>
    <w:rsid w:val="7059464A"/>
    <w:rsid w:val="773A4842"/>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86"/>
        <o:r id="V:Rule2" type="connector" idref="#Straight Connector 90"/>
        <o:r id="V:Rule3" type="connector" idref="#Straight Connector 94"/>
        <o:r id="V:Rule4" type="connector" idref="#Straight Connector 88"/>
        <o:r id="V:Rule5" type="connector" idref="#Straight Connector 92"/>
        <o:r id="V:Rule6" type="connector" idref="#Straight Connector 93"/>
        <o:r id="V:Rule7" type="connector" idref="#Straight Connector 91"/>
        <o:r id="V:Rule8" type="connector" idref="#Straight Connector 87"/>
        <o:r id="V:Rule9" type="connector" idref="#Straight Connector 95"/>
        <o:r id="V:Rule10" type="connector" idref="#Straight Connector 8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Balloon Text"/>
    <w:basedOn w:val="1"/>
    <w:link w:val="13"/>
    <w:unhideWhenUsed/>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u w:val="single"/>
    </w:rPr>
  </w:style>
  <w:style w:type="table" w:styleId="8">
    <w:name w:val="Table Grid"/>
    <w:basedOn w:val="7"/>
    <w:uiPriority w:val="59"/>
    <w:pPr/>
    <w:tblPr>
      <w:tblStyle w:val="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9">
    <w:name w:val="List Paragraph"/>
    <w:basedOn w:val="1"/>
    <w:qFormat/>
    <w:uiPriority w:val="34"/>
    <w:pPr>
      <w:ind w:firstLine="420" w:firstLineChars="200"/>
    </w:pPr>
  </w:style>
  <w:style w:type="paragraph" w:customStyle="1" w:styleId="10">
    <w:name w:val="Revision"/>
    <w:hidden/>
    <w:semiHidden/>
    <w:uiPriority w:val="99"/>
    <w:rPr>
      <w:rFonts w:ascii="Calibri" w:hAnsi="Calibri" w:eastAsia="宋体" w:cs="黑体"/>
      <w:kern w:val="2"/>
      <w:sz w:val="21"/>
      <w:szCs w:val="22"/>
      <w:lang w:val="en-US" w:eastAsia="zh-CN" w:bidi="ar-SA"/>
    </w:rPr>
  </w:style>
  <w:style w:type="character" w:customStyle="1" w:styleId="11">
    <w:name w:val="页眉 Char"/>
    <w:basedOn w:val="5"/>
    <w:link w:val="4"/>
    <w:uiPriority w:val="99"/>
    <w:rPr>
      <w:sz w:val="18"/>
      <w:szCs w:val="18"/>
    </w:rPr>
  </w:style>
  <w:style w:type="character" w:customStyle="1" w:styleId="12">
    <w:name w:val="页脚 Char"/>
    <w:basedOn w:val="5"/>
    <w:link w:val="3"/>
    <w:uiPriority w:val="99"/>
    <w:rPr>
      <w:sz w:val="18"/>
      <w:szCs w:val="18"/>
    </w:rPr>
  </w:style>
  <w:style w:type="character" w:customStyle="1" w:styleId="13">
    <w:name w:val="批注框文本 Char"/>
    <w:basedOn w:val="5"/>
    <w:link w:val="2"/>
    <w:semiHidden/>
    <w:uiPriority w:val="99"/>
    <w:rPr>
      <w:sz w:val="18"/>
      <w:szCs w:val="18"/>
    </w:rPr>
  </w:style>
  <w:style w:type="character" w:customStyle="1" w:styleId="14">
    <w:name w:val="mini-outputtext"/>
    <w:basedOn w:val="5"/>
    <w:uiPriority w:val="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0" Type="http://schemas.openxmlformats.org/officeDocument/2006/relationships/numbering" Target="numbering.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875</Words>
  <Characters>4994</Characters>
  <Lines>41</Lines>
  <Paragraphs>11</Paragraphs>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2020-04-22T08:12:00Z</dcterms:created>
  <dc:creator>吴</dc:creator>
  <cp:lastModifiedBy>郑博涵</cp:lastModifiedBy>
  <cp:lastPrinted>2021-08-06T09:16:00Z</cp:lastPrinted>
  <dcterms:modified xsi:type="dcterms:W3CDTF">2023-08-24T09:14:16Z</dcterms:modified>
  <dc:title>编号：57001-2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