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25" w:rsidRDefault="006F4E25" w:rsidP="006F4E25">
      <w:pPr>
        <w:ind w:firstLineChars="200" w:firstLine="643"/>
        <w:rPr>
          <w:rFonts w:ascii="黑体" w:eastAsia="黑体"/>
          <w:b/>
          <w:sz w:val="32"/>
          <w:szCs w:val="32"/>
        </w:rPr>
      </w:pPr>
      <w:r w:rsidRPr="005A16B1">
        <w:rPr>
          <w:rFonts w:ascii="黑体" w:eastAsia="黑体" w:hint="eastAsia"/>
          <w:b/>
          <w:sz w:val="32"/>
          <w:szCs w:val="32"/>
        </w:rPr>
        <w:t>《存托凭证跨境资金管理办法（试行）》政策问答</w:t>
      </w:r>
    </w:p>
    <w:p w:rsidR="006F4E25" w:rsidRDefault="006F4E25" w:rsidP="006F4E25">
      <w:pPr>
        <w:ind w:firstLineChars="200" w:firstLine="600"/>
        <w:jc w:val="center"/>
        <w:rPr>
          <w:rFonts w:ascii="黑体" w:eastAsia="黑体"/>
          <w:sz w:val="30"/>
          <w:szCs w:val="30"/>
        </w:rPr>
      </w:pPr>
      <w:r w:rsidRPr="005A16B1">
        <w:rPr>
          <w:rFonts w:ascii="黑体" w:eastAsia="黑体" w:hint="eastAsia"/>
          <w:sz w:val="30"/>
          <w:szCs w:val="30"/>
        </w:rPr>
        <w:t>（第一期）</w:t>
      </w:r>
    </w:p>
    <w:p w:rsidR="006F4E25" w:rsidRDefault="006F4E25" w:rsidP="006F4E25">
      <w:pPr>
        <w:ind w:firstLineChars="200" w:firstLine="602"/>
        <w:rPr>
          <w:rFonts w:ascii="仿宋_GB2312" w:eastAsia="仿宋_GB2312"/>
          <w:b/>
          <w:sz w:val="30"/>
          <w:szCs w:val="30"/>
        </w:rPr>
      </w:pPr>
    </w:p>
    <w:p w:rsidR="006F4E25" w:rsidRDefault="006F4E25" w:rsidP="006F4E25">
      <w:pPr>
        <w:ind w:firstLineChars="200" w:firstLine="600"/>
        <w:rPr>
          <w:rFonts w:ascii="仿宋_GB2312" w:eastAsia="仿宋_GB2312"/>
          <w:sz w:val="30"/>
          <w:szCs w:val="30"/>
        </w:rPr>
      </w:pPr>
      <w:r w:rsidRPr="005A16B1">
        <w:rPr>
          <w:rFonts w:ascii="仿宋_GB2312" w:eastAsia="仿宋_GB2312" w:hint="eastAsia"/>
          <w:sz w:val="30"/>
          <w:szCs w:val="30"/>
        </w:rPr>
        <w:t>《存托凭证跨境资金管理办法（试行）》</w:t>
      </w:r>
      <w:r>
        <w:rPr>
          <w:rFonts w:ascii="仿宋_GB2312" w:eastAsia="仿宋_GB2312" w:hint="eastAsia"/>
          <w:sz w:val="30"/>
          <w:szCs w:val="30"/>
        </w:rPr>
        <w:t>（中国人民银行 国家外汇管理局公告</w:t>
      </w:r>
      <w:r w:rsidRPr="005C4263">
        <w:rPr>
          <w:rFonts w:ascii="宋体" w:eastAsia="宋体" w:hAnsi="宋体" w:cs="宋体" w:hint="eastAsia"/>
          <w:sz w:val="30"/>
          <w:szCs w:val="30"/>
        </w:rPr>
        <w:t>﹝</w:t>
      </w:r>
      <w:r w:rsidRPr="005C4263">
        <w:rPr>
          <w:rFonts w:ascii="仿宋_GB2312" w:eastAsia="仿宋_GB2312" w:hint="eastAsia"/>
          <w:sz w:val="30"/>
          <w:szCs w:val="30"/>
        </w:rPr>
        <w:t>2019</w:t>
      </w:r>
      <w:r w:rsidRPr="005C4263">
        <w:rPr>
          <w:rFonts w:ascii="宋体" w:eastAsia="宋体" w:hAnsi="宋体" w:cs="宋体" w:hint="eastAsia"/>
          <w:sz w:val="30"/>
          <w:szCs w:val="30"/>
        </w:rPr>
        <w:t>﹞</w:t>
      </w:r>
      <w:r>
        <w:rPr>
          <w:rFonts w:ascii="仿宋_GB2312" w:eastAsia="仿宋_GB2312" w:hint="eastAsia"/>
          <w:sz w:val="30"/>
          <w:szCs w:val="30"/>
        </w:rPr>
        <w:t>第</w:t>
      </w:r>
      <w:r w:rsidRPr="005C4263">
        <w:rPr>
          <w:rFonts w:ascii="仿宋_GB2312" w:eastAsia="仿宋_GB2312" w:hint="eastAsia"/>
          <w:sz w:val="30"/>
          <w:szCs w:val="30"/>
        </w:rPr>
        <w:t>8号</w:t>
      </w:r>
      <w:r>
        <w:rPr>
          <w:rFonts w:ascii="仿宋_GB2312" w:eastAsia="仿宋_GB2312" w:hint="eastAsia"/>
          <w:sz w:val="30"/>
          <w:szCs w:val="30"/>
        </w:rPr>
        <w:t>，以下简称《管理办法》）</w:t>
      </w:r>
      <w:r w:rsidRPr="005A16B1">
        <w:rPr>
          <w:rFonts w:ascii="仿宋_GB2312" w:eastAsia="仿宋_GB2312" w:hint="eastAsia"/>
          <w:sz w:val="30"/>
          <w:szCs w:val="30"/>
        </w:rPr>
        <w:t>已于2019年</w:t>
      </w:r>
      <w:r>
        <w:rPr>
          <w:rFonts w:ascii="仿宋_GB2312" w:eastAsia="仿宋_GB2312" w:hint="eastAsia"/>
          <w:sz w:val="30"/>
          <w:szCs w:val="30"/>
        </w:rPr>
        <w:t>5</w:t>
      </w:r>
      <w:r w:rsidRPr="005A16B1">
        <w:rPr>
          <w:rFonts w:ascii="仿宋_GB2312" w:eastAsia="仿宋_GB2312" w:hint="eastAsia"/>
          <w:sz w:val="30"/>
          <w:szCs w:val="30"/>
        </w:rPr>
        <w:t>月由</w:t>
      </w:r>
      <w:r>
        <w:rPr>
          <w:rFonts w:ascii="仿宋_GB2312" w:eastAsia="仿宋_GB2312" w:hint="eastAsia"/>
          <w:sz w:val="30"/>
          <w:szCs w:val="30"/>
        </w:rPr>
        <w:t>中国</w:t>
      </w:r>
      <w:r w:rsidRPr="005A16B1">
        <w:rPr>
          <w:rFonts w:ascii="仿宋_GB2312" w:eastAsia="仿宋_GB2312" w:hint="eastAsia"/>
          <w:sz w:val="30"/>
          <w:szCs w:val="30"/>
        </w:rPr>
        <w:t>人民银行、国家外汇管理局联合发布实施。为明确相关操作，确保相关业务顺利开展，现</w:t>
      </w:r>
      <w:r>
        <w:rPr>
          <w:rFonts w:ascii="仿宋_GB2312" w:eastAsia="仿宋_GB2312" w:hint="eastAsia"/>
          <w:sz w:val="30"/>
          <w:szCs w:val="30"/>
        </w:rPr>
        <w:t>发布政策问答（第一期）。</w:t>
      </w:r>
    </w:p>
    <w:p w:rsidR="006F4E25" w:rsidRPr="004B01A0" w:rsidRDefault="006F4E25" w:rsidP="006F4E25">
      <w:pPr>
        <w:ind w:firstLineChars="200" w:firstLine="602"/>
        <w:rPr>
          <w:rFonts w:ascii="仿宋_GB2312" w:eastAsia="仿宋_GB2312"/>
          <w:b/>
          <w:sz w:val="30"/>
          <w:szCs w:val="30"/>
        </w:rPr>
      </w:pPr>
    </w:p>
    <w:p w:rsidR="006F4E25" w:rsidRPr="00C04D50" w:rsidRDefault="006F4E25" w:rsidP="006F4E25">
      <w:pPr>
        <w:ind w:firstLineChars="200" w:firstLine="602"/>
        <w:rPr>
          <w:rFonts w:ascii="仿宋_GB2312" w:eastAsia="仿宋_GB2312"/>
          <w:b/>
          <w:sz w:val="30"/>
          <w:szCs w:val="30"/>
        </w:rPr>
      </w:pPr>
      <w:r w:rsidRPr="00C04D50">
        <w:rPr>
          <w:rFonts w:ascii="仿宋_GB2312" w:eastAsia="仿宋_GB2312" w:hint="eastAsia"/>
          <w:b/>
          <w:sz w:val="30"/>
          <w:szCs w:val="30"/>
        </w:rPr>
        <w:t>一、问：若境外转换机构</w:t>
      </w:r>
      <w:r>
        <w:rPr>
          <w:rFonts w:ascii="仿宋_GB2312" w:eastAsia="仿宋_GB2312" w:hint="eastAsia"/>
          <w:b/>
          <w:sz w:val="30"/>
          <w:szCs w:val="30"/>
        </w:rPr>
        <w:t>在尚未汇入资金的情况下，开展全球存托凭证（以下简称GDR）跨境转换的首笔业务为兑回GDR，因此产生的资金汇出如何影响登记金额？</w:t>
      </w:r>
    </w:p>
    <w:p w:rsidR="006F4E25" w:rsidRDefault="006F4E25" w:rsidP="006F4E25">
      <w:pPr>
        <w:ind w:firstLineChars="200" w:firstLine="600"/>
        <w:rPr>
          <w:rFonts w:ascii="仿宋_GB2312" w:eastAsia="仿宋_GB2312"/>
          <w:sz w:val="30"/>
          <w:szCs w:val="30"/>
        </w:rPr>
      </w:pPr>
      <w:r>
        <w:rPr>
          <w:rFonts w:ascii="仿宋_GB2312" w:eastAsia="仿宋_GB2312" w:hint="eastAsia"/>
          <w:sz w:val="30"/>
          <w:szCs w:val="30"/>
        </w:rPr>
        <w:t>答：按照《管理办法》第十二条规定，境外转换机构以非新增证券为基础生成或兑回境外存托凭证的跨境证券交易累计净汇入资金不得超过经登记的规模。因此，境外转换机构进行GDR跨境转换的每笔业务，产生的每笔资金汇出入，均应参与净汇入资金规模计算。</w:t>
      </w:r>
    </w:p>
    <w:p w:rsidR="006F4E25" w:rsidRDefault="006F4E25" w:rsidP="006F4E25">
      <w:pPr>
        <w:ind w:firstLineChars="200" w:firstLine="600"/>
        <w:rPr>
          <w:rFonts w:ascii="仿宋_GB2312" w:eastAsia="仿宋_GB2312"/>
          <w:sz w:val="30"/>
          <w:szCs w:val="30"/>
        </w:rPr>
      </w:pPr>
    </w:p>
    <w:p w:rsidR="006F4E25" w:rsidRPr="00C04D50" w:rsidRDefault="006F4E25" w:rsidP="006F4E25">
      <w:pPr>
        <w:ind w:firstLineChars="200" w:firstLine="602"/>
        <w:rPr>
          <w:rFonts w:ascii="仿宋_GB2312" w:eastAsia="仿宋_GB2312"/>
          <w:b/>
          <w:sz w:val="30"/>
          <w:szCs w:val="30"/>
        </w:rPr>
      </w:pPr>
      <w:r w:rsidRPr="00C04D50">
        <w:rPr>
          <w:rFonts w:ascii="仿宋_GB2312" w:eastAsia="仿宋_GB2312" w:hint="eastAsia"/>
          <w:b/>
          <w:sz w:val="30"/>
          <w:szCs w:val="30"/>
        </w:rPr>
        <w:t>二、问：存托凭证跨境转换业务</w:t>
      </w:r>
      <w:r>
        <w:rPr>
          <w:rFonts w:ascii="仿宋_GB2312" w:eastAsia="仿宋_GB2312" w:hint="eastAsia"/>
          <w:b/>
          <w:sz w:val="30"/>
          <w:szCs w:val="30"/>
        </w:rPr>
        <w:t>同时以人民币和外币进行跨境收付的，是否有</w:t>
      </w:r>
      <w:r w:rsidRPr="00C04D50">
        <w:rPr>
          <w:rFonts w:ascii="仿宋_GB2312" w:eastAsia="仿宋_GB2312" w:hint="eastAsia"/>
          <w:b/>
          <w:sz w:val="30"/>
          <w:szCs w:val="30"/>
        </w:rPr>
        <w:t>本外币汇出入比例要求？</w:t>
      </w:r>
    </w:p>
    <w:p w:rsidR="006F4E25" w:rsidRDefault="006F4E25" w:rsidP="006F4E25">
      <w:pPr>
        <w:ind w:firstLineChars="200" w:firstLine="600"/>
        <w:rPr>
          <w:rFonts w:ascii="仿宋_GB2312" w:eastAsia="仿宋_GB2312"/>
          <w:sz w:val="30"/>
          <w:szCs w:val="30"/>
        </w:rPr>
      </w:pPr>
      <w:r>
        <w:rPr>
          <w:rFonts w:ascii="仿宋_GB2312" w:eastAsia="仿宋_GB2312" w:hint="eastAsia"/>
          <w:sz w:val="30"/>
          <w:szCs w:val="30"/>
        </w:rPr>
        <w:t>答：为便利相关业务开展，对于存托凭证跨境转换业务同时以人民币和外币进行跨境收付的，不设本外币汇出入比例要求，</w:t>
      </w:r>
      <w:r>
        <w:rPr>
          <w:rFonts w:ascii="仿宋_GB2312" w:eastAsia="仿宋_GB2312" w:hint="eastAsia"/>
          <w:sz w:val="30"/>
          <w:szCs w:val="30"/>
        </w:rPr>
        <w:lastRenderedPageBreak/>
        <w:t>但办理资金收付和汇兑应基于跨境转换业务实际需要，不得从事跨币种套利。</w:t>
      </w:r>
    </w:p>
    <w:p w:rsidR="006F4E25" w:rsidRPr="00FB19F1" w:rsidRDefault="006F4E25" w:rsidP="006F4E25">
      <w:pPr>
        <w:ind w:firstLineChars="200" w:firstLine="600"/>
        <w:rPr>
          <w:rFonts w:ascii="仿宋_GB2312" w:eastAsia="仿宋_GB2312" w:hAnsi="仿宋_GB2312" w:cs="仿宋_GB2312"/>
          <w:sz w:val="30"/>
          <w:szCs w:val="30"/>
        </w:rPr>
      </w:pPr>
    </w:p>
    <w:p w:rsidR="006F4E25" w:rsidRDefault="006F4E25" w:rsidP="006F4E25">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w:t>
      </w:r>
      <w:r w:rsidRPr="00657E1D">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问：该如何</w:t>
      </w:r>
      <w:r w:rsidRPr="00657E1D">
        <w:rPr>
          <w:rFonts w:ascii="仿宋_GB2312" w:eastAsia="仿宋_GB2312" w:hAnsi="仿宋_GB2312" w:cs="仿宋_GB2312" w:hint="eastAsia"/>
          <w:b/>
          <w:sz w:val="30"/>
          <w:szCs w:val="30"/>
        </w:rPr>
        <w:t>理解</w:t>
      </w:r>
      <w:r>
        <w:rPr>
          <w:rFonts w:ascii="仿宋_GB2312" w:eastAsia="仿宋_GB2312" w:hAnsi="仿宋_GB2312" w:cs="仿宋_GB2312" w:hint="eastAsia"/>
          <w:b/>
          <w:sz w:val="30"/>
          <w:szCs w:val="30"/>
        </w:rPr>
        <w:t>《管理办法》第十二条“符合规定的境外转换机构</w:t>
      </w:r>
      <w:r>
        <w:rPr>
          <w:rFonts w:ascii="仿宋_GB2312" w:eastAsia="仿宋_GB2312" w:hAnsi="仿宋_GB2312" w:cs="仿宋_GB2312"/>
          <w:b/>
          <w:sz w:val="30"/>
          <w:szCs w:val="30"/>
        </w:rPr>
        <w:t>……</w:t>
      </w:r>
      <w:r>
        <w:rPr>
          <w:rFonts w:ascii="仿宋_GB2312" w:eastAsia="仿宋_GB2312" w:hAnsi="仿宋_GB2312" w:cs="仿宋_GB2312" w:hint="eastAsia"/>
          <w:b/>
          <w:sz w:val="30"/>
          <w:szCs w:val="30"/>
        </w:rPr>
        <w:t>应委托境内一家具有相关业务资格的商业银行等作为托管人负责资产托管业务</w:t>
      </w:r>
      <w:r>
        <w:rPr>
          <w:rFonts w:ascii="仿宋_GB2312" w:eastAsia="仿宋_GB2312" w:hAnsi="仿宋_GB2312" w:cs="仿宋_GB2312"/>
          <w:b/>
          <w:sz w:val="30"/>
          <w:szCs w:val="30"/>
        </w:rPr>
        <w:t>……</w:t>
      </w:r>
      <w:r>
        <w:rPr>
          <w:rFonts w:ascii="仿宋_GB2312" w:eastAsia="仿宋_GB2312" w:hAnsi="仿宋_GB2312" w:cs="仿宋_GB2312" w:hint="eastAsia"/>
          <w:b/>
          <w:sz w:val="30"/>
          <w:szCs w:val="30"/>
        </w:rPr>
        <w:t>”?</w:t>
      </w:r>
    </w:p>
    <w:p w:rsidR="006F4E25" w:rsidRDefault="006F4E25" w:rsidP="006F4E25">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答：</w:t>
      </w:r>
      <w:r w:rsidRPr="00185320">
        <w:rPr>
          <w:rFonts w:ascii="Times New Roman" w:eastAsia="仿宋_GB2312" w:hAnsi="仿宋_GB2312" w:cs="Times New Roman"/>
          <w:sz w:val="30"/>
          <w:szCs w:val="30"/>
        </w:rPr>
        <w:t>同一境外转换机构只能委托境内一家具有相关业务资格的商业银行等作为托管人</w:t>
      </w:r>
      <w:r w:rsidRPr="00185320">
        <w:rPr>
          <w:rFonts w:ascii="Times New Roman" w:eastAsia="仿宋_GB2312" w:hAnsi="仿宋_GB2312" w:cs="Times New Roman"/>
          <w:b/>
          <w:sz w:val="30"/>
          <w:szCs w:val="30"/>
        </w:rPr>
        <w:t>。</w:t>
      </w:r>
      <w:r w:rsidRPr="00185320">
        <w:rPr>
          <w:rFonts w:ascii="Times New Roman" w:eastAsia="仿宋_GB2312" w:hAnsi="仿宋_GB2312" w:cs="Times New Roman"/>
          <w:sz w:val="30"/>
          <w:szCs w:val="30"/>
        </w:rPr>
        <w:t>变更托管人的，</w:t>
      </w:r>
      <w:r>
        <w:rPr>
          <w:rFonts w:ascii="Times New Roman" w:eastAsia="仿宋_GB2312" w:hAnsi="仿宋_GB2312" w:cs="Times New Roman" w:hint="eastAsia"/>
          <w:sz w:val="30"/>
          <w:szCs w:val="30"/>
        </w:rPr>
        <w:t>由新、老托管人分别发函告知外汇局变更事项，外汇局为其办理托管人变更登记。</w:t>
      </w:r>
    </w:p>
    <w:p w:rsidR="006F4E25" w:rsidRPr="00B54855" w:rsidRDefault="006F4E25" w:rsidP="006F4E25">
      <w:pPr>
        <w:ind w:firstLineChars="200" w:firstLine="600"/>
        <w:rPr>
          <w:rFonts w:ascii="仿宋_GB2312" w:eastAsia="仿宋_GB2312" w:hAnsi="仿宋_GB2312" w:cs="仿宋_GB2312"/>
          <w:sz w:val="30"/>
          <w:szCs w:val="30"/>
        </w:rPr>
      </w:pPr>
    </w:p>
    <w:p w:rsidR="006F4E25" w:rsidRPr="00FB19F1" w:rsidRDefault="006F4E25" w:rsidP="006F4E25">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四</w:t>
      </w:r>
      <w:r w:rsidRPr="00FB19F1">
        <w:rPr>
          <w:rFonts w:ascii="仿宋_GB2312" w:eastAsia="仿宋_GB2312" w:hAnsi="仿宋_GB2312" w:cs="仿宋_GB2312" w:hint="eastAsia"/>
          <w:b/>
          <w:sz w:val="30"/>
          <w:szCs w:val="30"/>
        </w:rPr>
        <w:t>、境外存托凭证境外存托人</w:t>
      </w:r>
      <w:r>
        <w:rPr>
          <w:rFonts w:ascii="仿宋_GB2312" w:eastAsia="仿宋_GB2312" w:hAnsi="仿宋_GB2312" w:cs="仿宋_GB2312" w:hint="eastAsia"/>
          <w:b/>
          <w:sz w:val="30"/>
          <w:szCs w:val="30"/>
        </w:rPr>
        <w:t>在境内托管行开立的境外存托凭证业务专用账户可否接收</w:t>
      </w:r>
      <w:r w:rsidRPr="00FB19F1">
        <w:rPr>
          <w:rFonts w:ascii="仿宋_GB2312" w:eastAsia="仿宋_GB2312" w:hAnsi="仿宋_GB2312" w:cs="仿宋_GB2312" w:hint="eastAsia"/>
          <w:b/>
          <w:sz w:val="30"/>
          <w:szCs w:val="30"/>
        </w:rPr>
        <w:t>从境外汇入</w:t>
      </w:r>
      <w:r>
        <w:rPr>
          <w:rFonts w:ascii="仿宋_GB2312" w:eastAsia="仿宋_GB2312" w:hAnsi="仿宋_GB2312" w:cs="仿宋_GB2312" w:hint="eastAsia"/>
          <w:b/>
          <w:sz w:val="30"/>
          <w:szCs w:val="30"/>
        </w:rPr>
        <w:t>的</w:t>
      </w:r>
      <w:r w:rsidRPr="00FB19F1">
        <w:rPr>
          <w:rFonts w:ascii="仿宋_GB2312" w:eastAsia="仿宋_GB2312" w:hAnsi="仿宋_GB2312" w:cs="仿宋_GB2312" w:hint="eastAsia"/>
          <w:b/>
          <w:sz w:val="30"/>
          <w:szCs w:val="30"/>
        </w:rPr>
        <w:t>资金</w:t>
      </w:r>
      <w:r>
        <w:rPr>
          <w:rFonts w:ascii="仿宋_GB2312" w:eastAsia="仿宋_GB2312" w:hAnsi="仿宋_GB2312" w:cs="仿宋_GB2312" w:hint="eastAsia"/>
          <w:b/>
          <w:sz w:val="30"/>
          <w:szCs w:val="30"/>
        </w:rPr>
        <w:t>，</w:t>
      </w:r>
      <w:r w:rsidRPr="00FB19F1">
        <w:rPr>
          <w:rFonts w:ascii="仿宋_GB2312" w:eastAsia="仿宋_GB2312" w:hAnsi="仿宋_GB2312" w:cs="仿宋_GB2312" w:hint="eastAsia"/>
          <w:b/>
          <w:sz w:val="30"/>
          <w:szCs w:val="30"/>
        </w:rPr>
        <w:t>用于缴纳境内</w:t>
      </w:r>
      <w:r>
        <w:rPr>
          <w:rFonts w:ascii="仿宋_GB2312" w:eastAsia="仿宋_GB2312" w:hAnsi="仿宋_GB2312" w:cs="仿宋_GB2312" w:hint="eastAsia"/>
          <w:b/>
          <w:sz w:val="30"/>
          <w:szCs w:val="30"/>
        </w:rPr>
        <w:t>相关税费或手续费</w:t>
      </w:r>
      <w:r w:rsidRPr="00FB19F1">
        <w:rPr>
          <w:rFonts w:ascii="仿宋_GB2312" w:eastAsia="仿宋_GB2312" w:hAnsi="仿宋_GB2312" w:cs="仿宋_GB2312" w:hint="eastAsia"/>
          <w:b/>
          <w:sz w:val="30"/>
          <w:szCs w:val="30"/>
        </w:rPr>
        <w:t>？</w:t>
      </w:r>
    </w:p>
    <w:p w:rsidR="006F4E25" w:rsidRDefault="006F4E25" w:rsidP="006F4E2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可以。境外存托凭证业务专用账户可以接收从境外汇入的资金，也可以接收从境外转换机构的境内NRA账户、境外转换机构在境内托管人处开立的境外存托凭证跨境转换专用账户划入的资金，用于支付境内股票非交易过户相关税费等。</w:t>
      </w:r>
    </w:p>
    <w:p w:rsidR="006F4E25" w:rsidRDefault="006F4E25" w:rsidP="006F4E25">
      <w:pPr>
        <w:ind w:firstLineChars="200" w:firstLine="600"/>
        <w:rPr>
          <w:rFonts w:ascii="仿宋_GB2312" w:eastAsia="仿宋_GB2312"/>
          <w:sz w:val="30"/>
          <w:szCs w:val="30"/>
        </w:rPr>
      </w:pPr>
    </w:p>
    <w:p w:rsidR="006F4E25" w:rsidRDefault="006F4E25" w:rsidP="006F4E25">
      <w:pPr>
        <w:ind w:firstLineChars="200" w:firstLine="602"/>
        <w:rPr>
          <w:rFonts w:ascii="仿宋_GB2312" w:eastAsia="仿宋_GB2312"/>
          <w:b/>
          <w:sz w:val="30"/>
          <w:szCs w:val="30"/>
        </w:rPr>
      </w:pPr>
      <w:r w:rsidRPr="005A16B1">
        <w:rPr>
          <w:rFonts w:ascii="仿宋_GB2312" w:eastAsia="仿宋_GB2312" w:hint="eastAsia"/>
          <w:b/>
          <w:sz w:val="30"/>
          <w:szCs w:val="30"/>
        </w:rPr>
        <w:t>五、GDR发行人向其GDR持有人进行分红时，应当如何操作？</w:t>
      </w:r>
    </w:p>
    <w:p w:rsidR="006F4E25" w:rsidRPr="003C1E47" w:rsidRDefault="006F4E25" w:rsidP="006F4E25">
      <w:pPr>
        <w:ind w:firstLineChars="200" w:firstLine="600"/>
        <w:rPr>
          <w:rFonts w:ascii="仿宋_GB2312" w:eastAsia="仿宋_GB2312"/>
          <w:sz w:val="30"/>
          <w:szCs w:val="30"/>
        </w:rPr>
      </w:pPr>
      <w:r>
        <w:rPr>
          <w:rFonts w:ascii="仿宋_GB2312" w:eastAsia="仿宋_GB2312" w:hint="eastAsia"/>
          <w:sz w:val="30"/>
          <w:szCs w:val="30"/>
        </w:rPr>
        <w:t>答：发行GDR的境内企业应参照现行普通A股境内发行人红利划付流程，将已发行上市GDR所对应境内基础证券的应付人民币红利划入其境外存托人在其境内托管行开立的境外存托凭证</w:t>
      </w:r>
      <w:r>
        <w:rPr>
          <w:rFonts w:ascii="仿宋_GB2312" w:eastAsia="仿宋_GB2312" w:hint="eastAsia"/>
          <w:sz w:val="30"/>
          <w:szCs w:val="30"/>
        </w:rPr>
        <w:lastRenderedPageBreak/>
        <w:t>存托业务专用账户。然后，由境外存托人的境内托管行按照真实性原则进行购汇汇出或人民币汇出操作。</w:t>
      </w:r>
    </w:p>
    <w:p w:rsidR="006F4E25" w:rsidRPr="004B01A0" w:rsidRDefault="006F4E25" w:rsidP="006F4E25">
      <w:pPr>
        <w:ind w:firstLineChars="200" w:firstLine="600"/>
        <w:rPr>
          <w:rFonts w:ascii="仿宋_GB2312" w:eastAsia="仿宋_GB2312"/>
          <w:sz w:val="30"/>
          <w:szCs w:val="30"/>
        </w:rPr>
      </w:pPr>
    </w:p>
    <w:p w:rsidR="00905A42" w:rsidRDefault="00905A42"/>
    <w:sectPr w:rsidR="00905A42" w:rsidSect="006E0A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DE" w:rsidRDefault="00E349DE" w:rsidP="006F4E25">
      <w:r>
        <w:separator/>
      </w:r>
    </w:p>
  </w:endnote>
  <w:endnote w:type="continuationSeparator" w:id="1">
    <w:p w:rsidR="00E349DE" w:rsidRDefault="00E349DE" w:rsidP="006F4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969"/>
      <w:docPartObj>
        <w:docPartGallery w:val="Page Numbers (Bottom of Page)"/>
        <w:docPartUnique/>
      </w:docPartObj>
    </w:sdtPr>
    <w:sdtContent>
      <w:p w:rsidR="004D7BFE" w:rsidRDefault="004B0A79">
        <w:pPr>
          <w:pStyle w:val="a4"/>
          <w:jc w:val="center"/>
        </w:pPr>
        <w:r>
          <w:fldChar w:fldCharType="begin"/>
        </w:r>
        <w:r w:rsidR="00905A42">
          <w:instrText xml:space="preserve"> PAGE   \* MERGEFORMAT </w:instrText>
        </w:r>
        <w:r>
          <w:fldChar w:fldCharType="separate"/>
        </w:r>
        <w:r w:rsidR="00F35D04" w:rsidRPr="00F35D04">
          <w:rPr>
            <w:noProof/>
            <w:lang w:val="zh-CN"/>
          </w:rPr>
          <w:t>2</w:t>
        </w:r>
        <w:r>
          <w:fldChar w:fldCharType="end"/>
        </w:r>
      </w:p>
    </w:sdtContent>
  </w:sdt>
  <w:p w:rsidR="004D7BFE" w:rsidRDefault="00E349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DE" w:rsidRDefault="00E349DE" w:rsidP="006F4E25">
      <w:r>
        <w:separator/>
      </w:r>
    </w:p>
  </w:footnote>
  <w:footnote w:type="continuationSeparator" w:id="1">
    <w:p w:rsidR="00E349DE" w:rsidRDefault="00E349DE" w:rsidP="006F4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E25"/>
    <w:rsid w:val="004B0A79"/>
    <w:rsid w:val="006F4E25"/>
    <w:rsid w:val="00905A42"/>
    <w:rsid w:val="00E349DE"/>
    <w:rsid w:val="00F35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E25"/>
    <w:rPr>
      <w:sz w:val="18"/>
      <w:szCs w:val="18"/>
    </w:rPr>
  </w:style>
  <w:style w:type="paragraph" w:styleId="a4">
    <w:name w:val="footer"/>
    <w:basedOn w:val="a"/>
    <w:link w:val="Char0"/>
    <w:uiPriority w:val="99"/>
    <w:unhideWhenUsed/>
    <w:rsid w:val="006F4E25"/>
    <w:pPr>
      <w:tabs>
        <w:tab w:val="center" w:pos="4153"/>
        <w:tab w:val="right" w:pos="8306"/>
      </w:tabs>
      <w:snapToGrid w:val="0"/>
      <w:jc w:val="left"/>
    </w:pPr>
    <w:rPr>
      <w:sz w:val="18"/>
      <w:szCs w:val="18"/>
    </w:rPr>
  </w:style>
  <w:style w:type="character" w:customStyle="1" w:styleId="Char0">
    <w:name w:val="页脚 Char"/>
    <w:basedOn w:val="a0"/>
    <w:link w:val="a4"/>
    <w:uiPriority w:val="99"/>
    <w:rsid w:val="006F4E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王蕾3</dc:creator>
  <cp:keywords/>
  <dc:description/>
  <cp:lastModifiedBy>user632-2</cp:lastModifiedBy>
  <cp:revision>3</cp:revision>
  <dcterms:created xsi:type="dcterms:W3CDTF">2019-10-12T09:02:00Z</dcterms:created>
  <dcterms:modified xsi:type="dcterms:W3CDTF">2019-10-12T09:02:00Z</dcterms:modified>
</cp:coreProperties>
</file>