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编号：57014</w:t>
      </w:r>
      <w:r>
        <w:rPr>
          <w:rFonts w:hint="eastAsia" w:ascii="Times New Roman" w:hAnsi="Times New Roman" w:eastAsia="黑体" w:cs="Times New Roman"/>
          <w:color w:val="auto"/>
          <w:sz w:val="48"/>
          <w:szCs w:val="48"/>
        </w:rPr>
        <w:t xml:space="preserve">               </w:t>
      </w:r>
      <w:r>
        <w:rPr>
          <w:rFonts w:ascii="Times New Roman" w:hAnsi="Times New Roman" w:eastAsia="黑体" w:cs="Times New Roman"/>
          <w:color w:val="auto"/>
          <w:kern w:val="2"/>
          <w:sz w:val="48"/>
          <w:szCs w:val="48"/>
          <w:lang w:val="en-US" w:eastAsia="zh-CN" w:bidi="ar-SA"/>
        </w:rPr>
        <w:pict>
          <v:shape id="图片框 1063" o:spid="_x0000_s1026" type="#_x0000_t75" style="height:70.5pt;width:8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52"/>
          <w:szCs w:val="52"/>
        </w:rPr>
      </w:pP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“保险、证券公司等非银行金融机构外汇业务市场准入、退出审批”</w:t>
      </w: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行政审批服务指南</w: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发布机构：国家外汇管理局</w:t>
      </w:r>
      <w:r>
        <w:rPr>
          <w:rFonts w:hint="eastAsia" w:ascii="Times New Roman" w:hAnsi="Times New Roman" w:eastAsia="仿宋_GB2312" w:cs="Times New Roman"/>
          <w:color w:val="auto"/>
          <w:sz w:val="30"/>
          <w:szCs w:val="30"/>
        </w:rPr>
        <w:t>吉林省分局</w:t>
      </w: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sectPr>
          <w:footerReference r:id="rId4" w:type="default"/>
          <w:pgSz w:w="11906" w:h="16838"/>
          <w:pgMar w:top="1440" w:right="1800" w:bottom="1440" w:left="1800" w:header="851" w:footer="992" w:gutter="0"/>
          <w:pgNumType w:start="1"/>
          <w:cols w:space="720" w:num="1"/>
          <w:docGrid w:type="lines" w:linePitch="312"/>
        </w:sectPr>
      </w:pPr>
    </w:p>
    <w:p>
      <w:pPr>
        <w:adjustRightInd w:val="0"/>
        <w:spacing w:line="360" w:lineRule="auto"/>
        <w:jc w:val="left"/>
        <w:outlineLvl w:val="0"/>
        <w:rPr>
          <w:rFonts w:ascii="Times New Roman" w:hAnsi="Times New Roman" w:eastAsia="黑体" w:cs="Times New Roman"/>
          <w:color w:val="auto"/>
          <w:sz w:val="30"/>
          <w:szCs w:val="30"/>
        </w:rPr>
      </w:pPr>
      <w:r>
        <w:rPr>
          <w:rFonts w:hint="eastAsia" w:ascii="Times New Roman" w:hAnsi="Times New Roman" w:eastAsia="黑体" w:cs="Times New Roman"/>
          <w:color w:val="auto"/>
          <w:sz w:val="30"/>
          <w:szCs w:val="30"/>
        </w:rPr>
        <w:t xml:space="preserve">    </w:t>
      </w:r>
      <w:r>
        <w:rPr>
          <w:rFonts w:ascii="Times New Roman" w:hAnsi="Times New Roman" w:eastAsia="黑体" w:cs="Times New Roman"/>
          <w:color w:val="auto"/>
          <w:sz w:val="30"/>
          <w:szCs w:val="30"/>
        </w:rPr>
        <w:t>一、项目信息</w:t>
      </w:r>
    </w:p>
    <w:p>
      <w:pPr>
        <w:adjustRightIn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项目编号：57014；</w:t>
      </w:r>
    </w:p>
    <w:p>
      <w:pPr>
        <w:adjustRightIn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adjustRightInd w:val="0"/>
        <w:spacing w:line="360" w:lineRule="auto"/>
        <w:ind w:firstLine="585"/>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本指南适用于“保险、证券公司等非银行金融机构外汇业务市场准入、退出审批”的申请和办理。</w:t>
      </w:r>
    </w:p>
    <w:p>
      <w:pPr>
        <w:adjustRightInd w:val="0"/>
        <w:snapToGrid w:val="0"/>
        <w:spacing w:line="360" w:lineRule="auto"/>
        <w:ind w:firstLine="585"/>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w:t>
      </w:r>
      <w:bookmarkStart w:id="9" w:name="_GoBack"/>
      <w:r>
        <w:rPr>
          <w:rFonts w:ascii="Times New Roman" w:hAnsi="Times New Roman" w:eastAsia="黑体" w:cs="Times New Roman"/>
          <w:color w:val="auto"/>
          <w:sz w:val="30"/>
          <w:szCs w:val="30"/>
        </w:rPr>
        <w:t>非银行金融机构（不含保险公司）外汇业务备案管理</w:t>
      </w:r>
    </w:p>
    <w:bookmarkEnd w:id="9"/>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w:t>
      </w:r>
      <w:r>
        <w:rPr>
          <w:rFonts w:hint="eastAsia" w:ascii="Times New Roman" w:hAnsi="Times New Roman" w:eastAsia="黑体" w:cs="Times New Roman"/>
          <w:color w:val="auto"/>
          <w:sz w:val="30"/>
          <w:szCs w:val="30"/>
        </w:rPr>
        <w:t>办理依据</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adjustRightInd w:val="0"/>
        <w:snapToGrid w:val="0"/>
        <w:spacing w:line="360" w:lineRule="auto"/>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adjustRightInd w:val="0"/>
        <w:snapToGrid w:val="0"/>
        <w:spacing w:line="360" w:lineRule="auto"/>
        <w:ind w:firstLine="600" w:firstLineChars="200"/>
        <w:rPr>
          <w:rFonts w:ascii="Times New Roman" w:hAnsi="Times New Roman" w:eastAsia="仿宋_GB2312"/>
          <w:color w:val="auto"/>
          <w:sz w:val="30"/>
          <w:szCs w:val="30"/>
        </w:rPr>
      </w:pPr>
      <w:r>
        <w:rPr>
          <w:rFonts w:hint="eastAsia" w:ascii="Times New Roman" w:hAnsi="Times New Roman" w:eastAsia="仿宋_GB2312"/>
          <w:color w:val="auto"/>
          <w:sz w:val="30"/>
          <w:szCs w:val="30"/>
        </w:rPr>
        <w:t>国家外汇管理局吉林省分局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（五）办事条件</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1.申请人条件</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（六）申请材料</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1.</w:t>
      </w:r>
      <w:r>
        <w:rPr>
          <w:rFonts w:ascii="Times New Roman" w:hAnsi="Times New Roman" w:cs="Times New Roman"/>
          <w:color w:val="auto"/>
        </w:rPr>
        <w:t xml:space="preserve"> </w:t>
      </w:r>
      <w:r>
        <w:rPr>
          <w:rFonts w:ascii="Times New Roman" w:hAnsi="Times New Roman" w:eastAsia="黑体" w:cs="Times New Roman"/>
          <w:color w:val="auto"/>
          <w:sz w:val="30"/>
          <w:szCs w:val="30"/>
        </w:rPr>
        <w:t>理财子公司开展境内外币理财业务备案申请材料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567"/>
        <w:gridCol w:w="850"/>
        <w:gridCol w:w="851"/>
        <w:gridCol w:w="759"/>
      </w:tblGrid>
      <w:tr>
        <w:trPr>
          <w:jc w:val="center"/>
        </w:trPr>
        <w:tc>
          <w:tcPr>
            <w:tcW w:w="534"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9"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567"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0"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851"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759"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r>
              <w:rPr>
                <w:rFonts w:ascii="Times New Roman" w:hAnsi="Times New Roman" w:eastAsia="仿宋_GB2312" w:cs="Times New Roman"/>
                <w:color w:val="auto"/>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加盖公章的原件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contextualSpacing/>
              <w:jc w:val="left"/>
              <w:rPr>
                <w:rFonts w:ascii="Times New Roman" w:hAnsi="Times New Roman" w:eastAsia="仿宋_GB2312" w:cs="Times New Roman"/>
                <w:color w:val="auto"/>
                <w:sz w:val="24"/>
                <w:szCs w:val="24"/>
              </w:rPr>
            </w:pP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969"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原件及加盖公章的复印件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验原件，留存加盖公章的复印件</w:t>
            </w: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969"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原件及加盖公章的复印件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2.</w:t>
      </w:r>
      <w:r>
        <w:rPr>
          <w:rFonts w:ascii="Times New Roman" w:hAnsi="Times New Roman" w:cs="Times New Roman"/>
          <w:color w:val="auto"/>
        </w:rPr>
        <w:t xml:space="preserve"> </w:t>
      </w:r>
      <w:r>
        <w:rPr>
          <w:rFonts w:ascii="Times New Roman" w:hAnsi="Times New Roman" w:eastAsia="黑体" w:cs="Times New Roman"/>
          <w:color w:val="auto"/>
          <w:sz w:val="30"/>
          <w:szCs w:val="30"/>
        </w:rPr>
        <w:t>其他非银行金融机构外汇业务备案申请材料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567"/>
        <w:gridCol w:w="850"/>
        <w:gridCol w:w="851"/>
        <w:gridCol w:w="759"/>
      </w:tblGrid>
      <w:tr>
        <w:trPr>
          <w:jc w:val="center"/>
        </w:trPr>
        <w:tc>
          <w:tcPr>
            <w:tcW w:w="534"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9"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567"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0"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851"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759"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r>
              <w:rPr>
                <w:rFonts w:hint="eastAsia" w:ascii="Times New Roman" w:hAnsi="Times New Roman" w:eastAsia="仿宋_GB2312" w:cs="Times New Roman"/>
                <w:color w:val="auto"/>
                <w:sz w:val="24"/>
                <w:szCs w:val="24"/>
              </w:rPr>
              <w:t>（包括但不限于业务类型、业务规则和流程、汇兑安排、内部管理制度、人员要求及准备情况等）</w:t>
            </w:r>
            <w:r>
              <w:rPr>
                <w:rFonts w:ascii="Times New Roman" w:hAnsi="Times New Roman" w:eastAsia="仿宋_GB2312" w:cs="Times New Roman"/>
                <w:color w:val="auto"/>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加盖公章的原件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contextualSpacing/>
              <w:jc w:val="left"/>
              <w:rPr>
                <w:rFonts w:ascii="Times New Roman" w:hAnsi="Times New Roman" w:eastAsia="仿宋_GB2312" w:cs="Times New Roman"/>
                <w:color w:val="auto"/>
                <w:sz w:val="24"/>
                <w:szCs w:val="24"/>
              </w:rPr>
            </w:pP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969"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原件及加盖公章的复印件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验原件，留存加盖公章的复印件</w:t>
            </w: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969"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原件及加盖公章的复印件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（七）申请接受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（八）基本办理流程</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1.申请人提交申请；</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2.决定是否予以受理；</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3.不予受理的，出具不予受理通知书； </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（九）办理方式</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（十）审批时限</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（十二）审批结果</w:t>
      </w:r>
    </w:p>
    <w:p>
      <w:pPr>
        <w:adjustRightInd w:val="0"/>
        <w:snapToGrid w:val="0"/>
        <w:spacing w:line="360" w:lineRule="auto"/>
        <w:ind w:firstLine="600"/>
        <w:rPr>
          <w:rFonts w:ascii="Times New Roman" w:hAnsi="Times New Roman" w:eastAsia="仿宋_GB2312" w:cs="Times New Roman"/>
          <w:color w:val="auto"/>
          <w:sz w:val="30"/>
        </w:rPr>
      </w:pPr>
      <w:r>
        <w:rPr>
          <w:rFonts w:ascii="Times New Roman" w:hAnsi="Times New Roman" w:eastAsia="仿宋_GB2312" w:cs="Times New Roman"/>
          <w:color w:val="auto"/>
          <w:sz w:val="30"/>
        </w:rPr>
        <w:t>出具相关业务办理凭证。</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（十三）结果送达</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（十四）申请人权利和义务</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黑体" w:cs="Times New Roman"/>
          <w:color w:val="auto"/>
          <w:sz w:val="30"/>
          <w:szCs w:val="30"/>
        </w:rPr>
        <w:t>（十五）咨询途径、监督和投诉</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向国家外汇管理局咨询、监督投诉等可通过国家外汇管理局官方互联网站公众交流栏目进行</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网址为</w:t>
      </w:r>
      <w:r>
        <w:rPr>
          <w:color w:val="auto"/>
        </w:rPr>
        <w:fldChar w:fldCharType="begin"/>
      </w:r>
      <w:r>
        <w:rPr>
          <w:color w:val="auto"/>
        </w:rPr>
        <w:instrText xml:space="preserve">HYPERLINK "http://www.safe.gov.cn/" </w:instrText>
      </w:r>
      <w:r>
        <w:rPr>
          <w:color w:val="auto"/>
        </w:rPr>
        <w:fldChar w:fldCharType="separate"/>
      </w:r>
      <w:r>
        <w:rPr>
          <w:rStyle w:val="15"/>
          <w:rFonts w:ascii="Times New Roman" w:hAnsi="Times New Roman" w:eastAsia="仿宋_GB2312" w:cs="Times New Roman"/>
          <w:color w:val="auto"/>
          <w:sz w:val="30"/>
          <w:szCs w:val="30"/>
        </w:rPr>
        <w:t>www.safe.gov.cn</w:t>
      </w:r>
      <w:r>
        <w:rPr>
          <w:color w:val="auto"/>
        </w:rPr>
        <w:fldChar w:fldCharType="end"/>
      </w:r>
      <w:r>
        <w:rPr>
          <w:rFonts w:ascii="Times New Roman" w:hAnsi="Times New Roman" w:eastAsia="仿宋_GB2312" w:cs="Times New Roman"/>
          <w:color w:val="auto"/>
          <w:sz w:val="30"/>
          <w:szCs w:val="30"/>
        </w:rPr>
        <w:t>。</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w:t>
      </w:r>
      <w:r>
        <w:rPr>
          <w:rFonts w:hint="eastAsia" w:ascii="Times New Roman" w:hAnsi="Times New Roman" w:eastAsia="仿宋_GB2312" w:cs="Times New Roman"/>
          <w:color w:val="auto"/>
          <w:sz w:val="30"/>
          <w:szCs w:val="30"/>
          <w:lang w:eastAsia="zh-CN"/>
        </w:rPr>
        <w:t>分支机构</w:t>
      </w:r>
      <w:r>
        <w:rPr>
          <w:rFonts w:ascii="Times New Roman" w:hAnsi="Times New Roman" w:eastAsia="仿宋_GB2312" w:cs="Times New Roman"/>
          <w:color w:val="auto"/>
          <w:sz w:val="30"/>
          <w:szCs w:val="30"/>
        </w:rPr>
        <w:t>进行咨询、监督和投诉等可通过</w:t>
      </w:r>
      <w:r>
        <w:rPr>
          <w:rFonts w:hint="eastAsia" w:ascii="Times New Roman" w:hAnsi="Times New Roman" w:eastAsia="仿宋_GB2312" w:cs="Times New Roman"/>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5"/>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hint="eastAsia" w:ascii="Times New Roman" w:hAnsi="Times New Roman" w:eastAsia="黑体" w:cs="Times New Roman"/>
          <w:color w:val="auto"/>
          <w:sz w:val="30"/>
          <w:szCs w:val="30"/>
        </w:rPr>
        <w:t>（十六）办公地址和时间</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eastAsia="仿宋_GB2312"/>
          <w:color w:val="auto"/>
          <w:sz w:val="30"/>
          <w:szCs w:val="30"/>
        </w:rPr>
        <w:t>该项行政许可具体由国家外汇管理局分局办理，</w:t>
      </w:r>
      <w:r>
        <w:rPr>
          <w:rFonts w:hint="eastAsia" w:eastAsia="仿宋_GB2312"/>
          <w:color w:val="auto"/>
          <w:sz w:val="30"/>
          <w:szCs w:val="30"/>
        </w:rPr>
        <w:t>国家外汇管理局吉林省</w:t>
      </w:r>
      <w:r>
        <w:rPr>
          <w:rFonts w:eastAsia="仿宋_GB2312"/>
          <w:color w:val="auto"/>
          <w:sz w:val="30"/>
          <w:szCs w:val="30"/>
        </w:rPr>
        <w:t>分局办公地址和办公时间见</w:t>
      </w:r>
      <w:r>
        <w:rPr>
          <w:rFonts w:hint="eastAsia" w:eastAsia="仿宋_GB2312"/>
          <w:color w:val="auto"/>
          <w:sz w:val="30"/>
          <w:szCs w:val="30"/>
        </w:rPr>
        <w:t>国家外汇管理局吉林省分局官方互联网站“咨询反馈——联系我们”栏目。</w:t>
      </w:r>
    </w:p>
    <w:p>
      <w:pPr>
        <w:adjustRightInd w:val="0"/>
        <w:snapToGrid w:val="0"/>
        <w:spacing w:line="360" w:lineRule="auto"/>
        <w:ind w:firstLine="600" w:firstLineChars="200"/>
        <w:rPr>
          <w:rFonts w:ascii="仿宋_GB2312" w:hAnsi="Times New Roman" w:eastAsia="仿宋_GB2312"/>
          <w:color w:val="auto"/>
          <w:sz w:val="30"/>
          <w:szCs w:val="30"/>
        </w:rPr>
      </w:pPr>
    </w:p>
    <w:p>
      <w:pPr>
        <w:ind w:right="300" w:firstLine="600"/>
        <w:rPr>
          <w:rFonts w:ascii="Times New Roman" w:hAnsi="Times New Roman" w:eastAsia="黑体" w:cs="Times New Roman"/>
          <w:color w:val="auto"/>
          <w:sz w:val="30"/>
          <w:szCs w:val="30"/>
        </w:rPr>
      </w:pPr>
    </w:p>
    <w:p>
      <w:pPr>
        <w:ind w:right="3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br w:type="page"/>
      </w:r>
      <w:r>
        <w:rPr>
          <w:rFonts w:ascii="Times New Roman" w:hAnsi="Times New Roman" w:eastAsia="仿宋_GB2312" w:cs="Times New Roman"/>
          <w:color w:val="auto"/>
          <w:sz w:val="30"/>
          <w:szCs w:val="30"/>
        </w:rPr>
        <w:t>附录一</w:t>
      </w:r>
      <w:bookmarkStart w:id="0" w:name="_Toc420333818"/>
      <w:bookmarkStart w:id="1" w:name="_Toc428779978"/>
      <w:bookmarkStart w:id="2" w:name="_Toc20679"/>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kern w:val="2"/>
          <w:sz w:val="30"/>
          <w:szCs w:val="30"/>
          <w:lang w:val="en-US" w:eastAsia="zh-CN" w:bidi="ar-SA"/>
        </w:rPr>
        <w:pict>
          <v:group id="组合 1026" o:spid="_x0000_s1027" style="position:absolute;left:0;margin-left:-24.75pt;margin-top:11.85pt;height:586.05pt;width:453.55pt;rotation:0f;z-index:251658240;" coordorigin="-150,0" coordsize="9071,11721">
            <o:lock v:ext="edit" position="f" selection="f" grouping="f" rotation="f" cropping="f" text="f" aspectratio="f"/>
            <v:rect id="Rectangle 40"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1"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42"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4"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5"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6"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47"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50;top:0;height:7693;width:9071;rotation:0f;" coordorigin="-150,0" coordsize="9071,7693">
              <o:lock v:ext="edit" position="f" selection="f" grouping="f" rotation="f" cropping="f" text="f" aspectratio="f"/>
              <v:shape id="AutoShape 49"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50;top:0;height:7693;width:9071;rotation:0f;" coordorigin="-150,0" coordsize="9071,7693">
                <o:lock v:ext="edit" position="f" selection="f" grouping="f" rotation="f" cropping="f" text="f" aspectratio="f"/>
                <v:shape id="AutoShape 51"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52"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53"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54"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55"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rect id="Rectangle 56"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57"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58" o:spid="_x0000_s1046" type="#_x0000_t116" style="position:absolute;left:4626;top:1187;height:1588;width:293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50;top:0;height:7424;width:4744;rotation:0f;" coordorigin="-150,0" coordsize="4744,7424">
                  <o:lock v:ext="edit" position="f" selection="f" grouping="f" rotation="f" cropping="f" text="f" aspectratio="f"/>
                  <v:shape id="AutoShape 60"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1"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50;top:0;height:4095;width:3813;rotation:0f;" coordorigin="-150,0" coordsize="3813,4095">
                    <o:lock v:ext="edit" position="f" selection="f" grouping="f" rotation="f" cropping="f" text="f" aspectratio="f"/>
                    <v:shape id="AutoShape 63"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4" o:spid="_x0000_s1052" type="#_x0000_t32" style="position:absolute;left:2629;top:3012;height:0;width:1034;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5" o:spid="_x0000_s1053" type="#_x0000_t4" style="position:absolute;left:-150;top:1936;height:2159;width:292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66"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67"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9"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70"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2" o:spid="_x0000_s1060" type="#_x0000_t32" style="position:absolute;left:7620;top:1886;flip:x;height:19;width:130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left"/>
        <w:rPr>
          <w:rFonts w:ascii="Times New Roman" w:hAnsi="Times New Roman" w:eastAsia="仿宋_GB2312" w:cs="Times New Roman"/>
          <w:color w:val="auto"/>
          <w:sz w:val="30"/>
          <w:szCs w:val="30"/>
        </w:rPr>
      </w:pPr>
    </w:p>
    <w:p>
      <w:pPr>
        <w:tabs>
          <w:tab w:val="center" w:pos="4363"/>
        </w:tabs>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ab/>
      </w:r>
    </w:p>
    <w:p>
      <w:pPr>
        <w:widowControl/>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br w:type="page"/>
      </w:r>
      <w:r>
        <w:rPr>
          <w:rFonts w:ascii="Times New Roman" w:hAnsi="Times New Roman" w:eastAsia="仿宋_GB2312" w:cs="Times New Roman"/>
          <w:color w:val="auto"/>
          <w:kern w:val="0"/>
          <w:sz w:val="30"/>
          <w:szCs w:val="30"/>
        </w:rPr>
        <w:t>附录二</w:t>
      </w:r>
    </w:p>
    <w:p>
      <w:pPr>
        <w:jc w:val="center"/>
        <w:rPr>
          <w:rFonts w:ascii="Times New Roman" w:hAnsi="Times New Roman" w:eastAsia="黑体" w:cs="Times New Roman"/>
          <w:color w:val="auto"/>
          <w:sz w:val="30"/>
          <w:szCs w:val="30"/>
        </w:rPr>
      </w:pPr>
      <w:bookmarkStart w:id="3" w:name="_Toc495992549"/>
      <w:bookmarkStart w:id="4" w:name="_Toc492328432"/>
      <w:bookmarkStart w:id="5" w:name="_Toc6367"/>
      <w:bookmarkStart w:id="6" w:name="_Toc485285487"/>
      <w:bookmarkStart w:id="7" w:name="_Toc487492190"/>
      <w:r>
        <w:rPr>
          <w:rFonts w:ascii="Times New Roman" w:hAnsi="黑体" w:eastAsia="黑体" w:cs="Times New Roman"/>
          <w:color w:val="auto"/>
          <w:sz w:val="30"/>
          <w:szCs w:val="30"/>
        </w:rPr>
        <w:t>境内非银行金融机构外汇业务备案表</w:t>
      </w:r>
      <w:bookmarkEnd w:id="3"/>
      <w:bookmarkEnd w:id="4"/>
      <w:bookmarkEnd w:id="5"/>
      <w:bookmarkEnd w:id="6"/>
      <w:bookmarkEnd w:id="7"/>
      <w:r>
        <w:rPr>
          <w:rFonts w:ascii="Times New Roman" w:hAnsi="黑体" w:eastAsia="黑体" w:cs="Times New Roman"/>
          <w:color w:val="auto"/>
          <w:sz w:val="30"/>
          <w:szCs w:val="30"/>
        </w:rPr>
        <w:t>（示范文本）</w:t>
      </w:r>
    </w:p>
    <w:p>
      <w:pPr>
        <w:spacing w:line="320" w:lineRule="exact"/>
        <w:rPr>
          <w:rFonts w:ascii="Times New Roman" w:hAnsi="Times New Roman" w:cs="Times New Roman"/>
          <w:b/>
          <w:bCs/>
          <w:color w:val="auto"/>
          <w:sz w:val="30"/>
          <w:szCs w:val="30"/>
        </w:rPr>
      </w:pPr>
      <w:r>
        <w:rPr>
          <w:rFonts w:ascii="Times New Roman" w:hAnsi="宋体" w:cs="Times New Roman"/>
          <w:color w:val="auto"/>
          <w:sz w:val="24"/>
        </w:rPr>
        <w:t>备案日期：</w:t>
      </w:r>
      <w:r>
        <w:rPr>
          <w:rFonts w:ascii="Times New Roman" w:hAnsi="Times New Roman" w:cs="Times New Roman"/>
          <w:color w:val="auto"/>
          <w:sz w:val="24"/>
        </w:rPr>
        <w:t xml:space="preserve">    </w:t>
      </w:r>
      <w:r>
        <w:rPr>
          <w:rFonts w:ascii="Times New Roman" w:hAnsi="宋体" w:cs="Times New Roman"/>
          <w:color w:val="auto"/>
          <w:sz w:val="24"/>
        </w:rPr>
        <w:t>年</w:t>
      </w:r>
      <w:r>
        <w:rPr>
          <w:rFonts w:ascii="Times New Roman" w:hAnsi="Times New Roman" w:cs="Times New Roman"/>
          <w:color w:val="auto"/>
          <w:sz w:val="24"/>
        </w:rPr>
        <w:t xml:space="preserve">   </w:t>
      </w:r>
      <w:r>
        <w:rPr>
          <w:rFonts w:ascii="Times New Roman" w:hAnsi="宋体" w:cs="Times New Roman"/>
          <w:color w:val="auto"/>
          <w:sz w:val="24"/>
        </w:rPr>
        <w:t>月</w:t>
      </w:r>
      <w:r>
        <w:rPr>
          <w:rFonts w:ascii="Times New Roman" w:hAnsi="Times New Roman" w:cs="Times New Roman"/>
          <w:color w:val="auto"/>
          <w:sz w:val="24"/>
        </w:rPr>
        <w:t xml:space="preserve">   </w:t>
      </w:r>
      <w:r>
        <w:rPr>
          <w:rFonts w:ascii="Times New Roman" w:hAnsi="宋体" w:cs="Times New Roman"/>
          <w:color w:val="auto"/>
          <w:sz w:val="24"/>
        </w:rPr>
        <w:t>日</w:t>
      </w:r>
      <w:r>
        <w:rPr>
          <w:rFonts w:ascii="Times New Roman" w:hAnsi="Times New Roman" w:cs="Times New Roman"/>
          <w:color w:val="auto"/>
          <w:sz w:val="24"/>
        </w:rPr>
        <w:t xml:space="preserve">              </w:t>
      </w:r>
      <w:r>
        <w:rPr>
          <w:rFonts w:ascii="Times New Roman" w:hAnsi="宋体" w:cs="Times New Roman"/>
          <w:color w:val="auto"/>
          <w:sz w:val="24"/>
        </w:rPr>
        <w:t>编号（外汇局填写）：</w:t>
      </w:r>
    </w:p>
    <w:tbl>
      <w:tblPr>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color w:val="auto"/>
                <w:sz w:val="24"/>
              </w:rPr>
            </w:pPr>
            <w:r>
              <w:rPr>
                <w:rFonts w:ascii="Times New Roman" w:hAnsi="宋体" w:cs="Times New Roman"/>
                <w:b/>
                <w:color w:val="auto"/>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color w:val="auto"/>
                <w:sz w:val="24"/>
              </w:rPr>
            </w:pPr>
            <w:r>
              <w:rPr>
                <w:rFonts w:ascii="Times New Roman" w:hAnsi="宋体" w:cs="Times New Roman"/>
                <w:b/>
                <w:color w:val="auto"/>
                <w:sz w:val="24"/>
              </w:rPr>
              <w:t>第一联</w:t>
            </w:r>
          </w:p>
          <w:p>
            <w:pPr>
              <w:spacing w:line="320" w:lineRule="exact"/>
              <w:jc w:val="center"/>
              <w:rPr>
                <w:rFonts w:ascii="Times New Roman" w:hAnsi="Times New Roman" w:cs="Times New Roman"/>
                <w:b/>
                <w:color w:val="auto"/>
                <w:sz w:val="24"/>
              </w:rPr>
            </w:pPr>
          </w:p>
          <w:p>
            <w:pPr>
              <w:spacing w:line="320" w:lineRule="exact"/>
              <w:jc w:val="center"/>
              <w:rPr>
                <w:rFonts w:ascii="Times New Roman" w:hAnsi="Times New Roman" w:cs="Times New Roman"/>
                <w:b/>
                <w:color w:val="auto"/>
                <w:sz w:val="24"/>
              </w:rPr>
            </w:pPr>
            <w:r>
              <w:rPr>
                <w:rFonts w:ascii="Times New Roman" w:hAnsi="宋体" w:cs="Times New Roman"/>
                <w:b/>
                <w:color w:val="auto"/>
                <w:sz w:val="24"/>
              </w:rPr>
              <w:t>外汇局留存</w:t>
            </w:r>
          </w:p>
        </w:tc>
      </w:tr>
      <w:tr>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通讯地址</w:t>
            </w:r>
          </w:p>
          <w:p>
            <w:pPr>
              <w:spacing w:line="320" w:lineRule="exact"/>
              <w:jc w:val="center"/>
              <w:rPr>
                <w:rFonts w:ascii="Times New Roman" w:hAnsi="Times New Roman" w:cs="Times New Roman"/>
                <w:color w:val="auto"/>
                <w:sz w:val="24"/>
              </w:rPr>
            </w:pPr>
            <w:r>
              <w:rPr>
                <w:rFonts w:ascii="Times New Roman" w:hAnsi="宋体" w:cs="Times New Roman"/>
                <w:color w:val="auto"/>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统一社会信用代码</w:t>
            </w:r>
            <w:r>
              <w:rPr>
                <w:rFonts w:ascii="Times New Roman" w:hAnsi="Times New Roman" w:cs="Times New Roman"/>
                <w:color w:val="auto"/>
                <w:sz w:val="24"/>
              </w:rPr>
              <w:t>/</w:t>
            </w:r>
            <w:r>
              <w:rPr>
                <w:rFonts w:ascii="Times New Roman" w:hAnsi="宋体" w:cs="Times New Roman"/>
                <w:color w:val="auto"/>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证券公司</w:t>
            </w:r>
            <w:r>
              <w:rPr>
                <w:rFonts w:ascii="Times New Roman" w:hAnsi="Times New Roman" w:cs="Times New Roman"/>
                <w:color w:val="auto"/>
                <w:sz w:val="24"/>
              </w:rPr>
              <w:t xml:space="preserve">   □</w:t>
            </w:r>
            <w:r>
              <w:rPr>
                <w:rFonts w:ascii="Times New Roman" w:hAnsi="宋体" w:cs="Times New Roman"/>
                <w:color w:val="auto"/>
                <w:sz w:val="24"/>
              </w:rPr>
              <w:t>基金管理公司</w:t>
            </w:r>
            <w:r>
              <w:rPr>
                <w:rFonts w:ascii="Times New Roman" w:hAnsi="Times New Roman" w:cs="Times New Roman"/>
                <w:color w:val="auto"/>
                <w:sz w:val="24"/>
              </w:rPr>
              <w:t xml:space="preserve">  </w:t>
            </w:r>
            <w:r>
              <w:rPr>
                <w:rFonts w:hint="eastAsia" w:ascii="Times New Roman" w:hAnsi="Times New Roman" w:cs="Times New Roman"/>
                <w:color w:val="auto"/>
                <w:sz w:val="24"/>
              </w:rPr>
              <w:t xml:space="preserve"> </w:t>
            </w:r>
            <w:r>
              <w:rPr>
                <w:rFonts w:ascii="Times New Roman" w:hAnsi="Times New Roman" w:cs="Times New Roman"/>
                <w:color w:val="auto"/>
                <w:sz w:val="24"/>
              </w:rPr>
              <w:t>□</w:t>
            </w:r>
            <w:r>
              <w:rPr>
                <w:rFonts w:ascii="Times New Roman" w:hAnsi="宋体" w:cs="Times New Roman"/>
                <w:color w:val="auto"/>
                <w:sz w:val="24"/>
              </w:rPr>
              <w:t>期货公司</w:t>
            </w:r>
            <w:r>
              <w:rPr>
                <w:rFonts w:ascii="Times New Roman" w:hAnsi="Times New Roman" w:cs="Times New Roman"/>
                <w:color w:val="auto"/>
                <w:sz w:val="24"/>
              </w:rPr>
              <w:t xml:space="preserve">    □</w:t>
            </w:r>
            <w:r>
              <w:rPr>
                <w:rFonts w:ascii="Times New Roman" w:hAnsi="宋体" w:cs="Times New Roman"/>
                <w:color w:val="auto"/>
                <w:sz w:val="24"/>
              </w:rPr>
              <w:t>企业集团财务公司</w:t>
            </w:r>
          </w:p>
          <w:p>
            <w:pPr>
              <w:spacing w:line="32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信托公司</w:t>
            </w:r>
            <w:r>
              <w:rPr>
                <w:rFonts w:ascii="Times New Roman" w:hAnsi="Times New Roman" w:cs="Times New Roman"/>
                <w:color w:val="auto"/>
                <w:sz w:val="24"/>
              </w:rPr>
              <w:t xml:space="preserve">   □</w:t>
            </w:r>
            <w:r>
              <w:rPr>
                <w:rFonts w:ascii="Times New Roman" w:hAnsi="宋体" w:cs="Times New Roman"/>
                <w:color w:val="auto"/>
                <w:sz w:val="24"/>
              </w:rPr>
              <w:t>金融租赁公司</w:t>
            </w:r>
            <w:r>
              <w:rPr>
                <w:rFonts w:ascii="Times New Roman" w:hAnsi="Times New Roman" w:cs="Times New Roman"/>
                <w:color w:val="auto"/>
                <w:sz w:val="24"/>
              </w:rPr>
              <w:t xml:space="preserve">  □</w:t>
            </w:r>
            <w:r>
              <w:rPr>
                <w:rFonts w:ascii="Times New Roman" w:hAnsi="宋体" w:cs="Times New Roman"/>
                <w:color w:val="auto"/>
                <w:sz w:val="24"/>
              </w:rPr>
              <w:t>汽车金融公司</w:t>
            </w:r>
            <w:r>
              <w:rPr>
                <w:rFonts w:ascii="Times New Roman" w:hAnsi="Times New Roman" w:cs="Times New Roman"/>
                <w:color w:val="auto"/>
                <w:sz w:val="24"/>
              </w:rPr>
              <w:t>□</w:t>
            </w:r>
            <w:r>
              <w:rPr>
                <w:rFonts w:ascii="Times New Roman" w:hAnsi="宋体" w:cs="Times New Roman"/>
                <w:color w:val="auto"/>
                <w:sz w:val="24"/>
              </w:rPr>
              <w:t>金融资产管理公司</w:t>
            </w:r>
            <w:r>
              <w:rPr>
                <w:rFonts w:ascii="Times New Roman" w:hAnsi="Times New Roman" w:cs="Times New Roman"/>
                <w:color w:val="auto"/>
                <w:sz w:val="24"/>
              </w:rPr>
              <w:t xml:space="preserve">         □</w:t>
            </w:r>
            <w:r>
              <w:rPr>
                <w:rFonts w:ascii="Times New Roman" w:hAnsi="宋体" w:cs="Times New Roman"/>
                <w:color w:val="auto"/>
                <w:sz w:val="24"/>
              </w:rPr>
              <w:t>消费金融公司</w:t>
            </w:r>
            <w:r>
              <w:rPr>
                <w:rFonts w:ascii="Times New Roman" w:hAnsi="Times New Roman" w:cs="Times New Roman"/>
                <w:color w:val="auto"/>
                <w:sz w:val="24"/>
              </w:rPr>
              <w:t xml:space="preserve">   □</w:t>
            </w:r>
            <w:r>
              <w:rPr>
                <w:rFonts w:ascii="Times New Roman" w:hAnsi="宋体" w:cs="Times New Roman"/>
                <w:color w:val="auto"/>
                <w:sz w:val="24"/>
              </w:rPr>
              <w:t>货币经纪公司</w:t>
            </w:r>
          </w:p>
          <w:p>
            <w:pPr>
              <w:spacing w:line="32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color w:val="auto"/>
                <w:sz w:val="24"/>
              </w:rPr>
            </w:pPr>
          </w:p>
        </w:tc>
      </w:tr>
      <w:tr>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主要经营</w:t>
            </w:r>
          </w:p>
          <w:p>
            <w:pPr>
              <w:spacing w:line="320" w:lineRule="exact"/>
              <w:jc w:val="center"/>
              <w:rPr>
                <w:rFonts w:ascii="Times New Roman" w:hAnsi="Times New Roman" w:cs="Times New Roman"/>
                <w:color w:val="auto"/>
                <w:sz w:val="24"/>
              </w:rPr>
            </w:pPr>
            <w:r>
              <w:rPr>
                <w:rFonts w:ascii="Times New Roman" w:hAnsi="宋体" w:cs="Times New Roman"/>
                <w:color w:val="auto"/>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color w:val="auto"/>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color w:val="auto"/>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color w:val="auto"/>
                <w:sz w:val="24"/>
              </w:rPr>
            </w:pPr>
            <w:r>
              <w:rPr>
                <w:rFonts w:ascii="Times New Roman" w:hAnsi="Times New Roman" w:cs="Times New Roman"/>
                <w:b/>
                <w:color w:val="auto"/>
                <w:sz w:val="24"/>
              </w:rPr>
              <w:t>……</w:t>
            </w:r>
            <w:r>
              <w:rPr>
                <w:rFonts w:ascii="Times New Roman" w:hAnsi="宋体" w:cs="Times New Roman"/>
                <w:color w:val="auto"/>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color w:val="auto"/>
                <w:sz w:val="24"/>
              </w:rPr>
            </w:pPr>
            <w:r>
              <w:rPr>
                <w:rFonts w:ascii="Times New Roman" w:hAnsi="宋体" w:cs="Times New Roman"/>
                <w:b/>
                <w:color w:val="auto"/>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color w:val="auto"/>
              </w:rPr>
            </w:pPr>
          </w:p>
        </w:tc>
      </w:tr>
      <w:tr>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color w:val="auto"/>
              </w:rPr>
            </w:pPr>
            <w:r>
              <w:rPr>
                <w:rFonts w:ascii="Times New Roman" w:hAnsi="宋体" w:cs="Times New Roman"/>
                <w:color w:val="auto"/>
                <w:sz w:val="24"/>
              </w:rPr>
              <w:t>备案类别：</w:t>
            </w:r>
            <w:r>
              <w:rPr>
                <w:rFonts w:ascii="Times New Roman" w:hAnsi="Times New Roman" w:cs="Times New Roman"/>
                <w:color w:val="auto"/>
                <w:sz w:val="24"/>
              </w:rPr>
              <w:t>□</w:t>
            </w:r>
            <w:r>
              <w:rPr>
                <w:rFonts w:ascii="Times New Roman" w:hAnsi="宋体" w:cs="Times New Roman"/>
                <w:color w:val="auto"/>
                <w:sz w:val="24"/>
              </w:rPr>
              <w:t>初始备案</w:t>
            </w:r>
            <w:r>
              <w:rPr>
                <w:rFonts w:ascii="Times New Roman" w:hAnsi="Times New Roman" w:cs="Times New Roman"/>
                <w:color w:val="auto"/>
                <w:sz w:val="24"/>
              </w:rPr>
              <w:t xml:space="preserve">   □</w:t>
            </w:r>
            <w:r>
              <w:rPr>
                <w:rFonts w:ascii="Times New Roman" w:hAnsi="宋体" w:cs="Times New Roman"/>
                <w:color w:val="auto"/>
                <w:sz w:val="24"/>
              </w:rPr>
              <w:t>变更备案</w:t>
            </w:r>
            <w:r>
              <w:rPr>
                <w:rFonts w:ascii="Times New Roman" w:hAnsi="Times New Roman" w:cs="Times New Roman"/>
                <w:color w:val="auto"/>
                <w:sz w:val="24"/>
              </w:rPr>
              <w:t xml:space="preserve">   □</w:t>
            </w:r>
            <w:r>
              <w:rPr>
                <w:rFonts w:ascii="Times New Roman" w:hAnsi="宋体" w:cs="Times New Roman"/>
                <w:color w:val="auto"/>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color w:val="auto"/>
                <w:sz w:val="24"/>
              </w:rPr>
            </w:pPr>
          </w:p>
        </w:tc>
      </w:tr>
      <w:tr>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color w:val="auto"/>
                <w:sz w:val="24"/>
              </w:rPr>
            </w:pPr>
            <w:r>
              <w:rPr>
                <w:rFonts w:ascii="Times New Roman" w:hAnsi="宋体" w:cs="Times New Roman"/>
                <w:color w:val="auto"/>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跨境证券经纪</w:t>
            </w:r>
          </w:p>
          <w:p>
            <w:pPr>
              <w:spacing w:line="340" w:lineRule="exact"/>
              <w:rPr>
                <w:rFonts w:ascii="Times New Roman" w:hAnsi="Times New Roman" w:cs="Times New Roman"/>
                <w:color w:val="auto"/>
                <w:sz w:val="24"/>
              </w:rPr>
            </w:pPr>
            <w:r>
              <w:rPr>
                <w:rFonts w:ascii="Times New Roman" w:hAnsi="Times New Roman" w:cs="Times New Roman"/>
                <w:color w:val="auto"/>
                <w:sz w:val="24"/>
              </w:rPr>
              <w:t>□B</w:t>
            </w:r>
            <w:r>
              <w:rPr>
                <w:rFonts w:ascii="Times New Roman" w:hAnsi="宋体" w:cs="Times New Roman"/>
                <w:color w:val="auto"/>
                <w:sz w:val="24"/>
              </w:rPr>
              <w:t>股经纪</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跨境期货及衍生产品经纪</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跨境证券承销业务</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对外证券及衍生品投资</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境外基金或产品销售</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跨境并购</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跨境信托</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跨境结构性产品</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跨境证券投资咨询和见证</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color w:val="auto"/>
                <w:sz w:val="24"/>
              </w:rPr>
            </w:pPr>
          </w:p>
        </w:tc>
      </w:tr>
      <w:tr>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color w:val="auto"/>
                <w:sz w:val="24"/>
              </w:rPr>
            </w:pPr>
            <w:r>
              <w:rPr>
                <w:rFonts w:ascii="Times New Roman" w:hAnsi="宋体" w:cs="Times New Roman"/>
                <w:color w:val="auto"/>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外汇存款</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外汇贷款</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外汇同业拆借</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境内外币证券承销</w:t>
            </w:r>
            <w:r>
              <w:rPr>
                <w:rFonts w:ascii="Times New Roman" w:hAnsi="Times New Roman" w:cs="Times New Roman"/>
                <w:color w:val="auto"/>
                <w:sz w:val="24"/>
              </w:rPr>
              <w:t>□</w:t>
            </w:r>
            <w:r>
              <w:rPr>
                <w:rFonts w:ascii="Times New Roman" w:hAnsi="宋体" w:cs="Times New Roman"/>
                <w:color w:val="auto"/>
                <w:sz w:val="24"/>
              </w:rPr>
              <w:t>境内外汇信托</w:t>
            </w:r>
            <w:r>
              <w:rPr>
                <w:rFonts w:ascii="Times New Roman" w:hAnsi="Times New Roman" w:cs="Times New Roman"/>
                <w:color w:val="auto"/>
                <w:sz w:val="24"/>
              </w:rPr>
              <w:t>/</w:t>
            </w:r>
            <w:r>
              <w:rPr>
                <w:rFonts w:ascii="Times New Roman" w:hAnsi="宋体" w:cs="Times New Roman"/>
                <w:color w:val="auto"/>
                <w:sz w:val="24"/>
              </w:rPr>
              <w:t>集合计划</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境内外汇资产管理</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境内外汇买卖</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color w:val="auto"/>
                <w:sz w:val="24"/>
              </w:rPr>
            </w:pPr>
          </w:p>
        </w:tc>
      </w:tr>
      <w:tr>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是</w:t>
            </w:r>
            <w:r>
              <w:rPr>
                <w:rFonts w:ascii="Times New Roman" w:hAnsi="Times New Roman" w:cs="Times New Roman"/>
                <w:color w:val="auto"/>
                <w:sz w:val="24"/>
              </w:rPr>
              <w:t xml:space="preserve">  □</w:t>
            </w:r>
            <w:r>
              <w:rPr>
                <w:rFonts w:ascii="Times New Roman" w:hAnsi="宋体" w:cs="Times New Roman"/>
                <w:color w:val="auto"/>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许可</w:t>
            </w:r>
            <w:r>
              <w:rPr>
                <w:rFonts w:ascii="Times New Roman" w:hAnsi="Times New Roman" w:cs="Times New Roman"/>
                <w:color w:val="auto"/>
                <w:sz w:val="24"/>
              </w:rPr>
              <w:t>/</w:t>
            </w:r>
            <w:r>
              <w:rPr>
                <w:rFonts w:ascii="Times New Roman" w:hAnsi="宋体" w:cs="Times New Roman"/>
                <w:color w:val="auto"/>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许可</w:t>
            </w:r>
            <w:r>
              <w:rPr>
                <w:rFonts w:ascii="Times New Roman" w:hAnsi="Times New Roman" w:cs="Times New Roman"/>
                <w:color w:val="auto"/>
                <w:sz w:val="24"/>
              </w:rPr>
              <w:t>/</w:t>
            </w:r>
            <w:r>
              <w:rPr>
                <w:rFonts w:ascii="Times New Roman" w:hAnsi="宋体" w:cs="Times New Roman"/>
                <w:color w:val="auto"/>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color w:val="auto"/>
                <w:sz w:val="24"/>
              </w:rPr>
            </w:pPr>
            <w:r>
              <w:rPr>
                <w:rFonts w:ascii="Times New Roman" w:hAnsi="宋体" w:cs="Times New Roman"/>
                <w:color w:val="auto"/>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color w:val="auto"/>
                <w:sz w:val="24"/>
              </w:rPr>
            </w:pPr>
          </w:p>
        </w:tc>
      </w:tr>
      <w:tr>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color w:val="auto"/>
                <w:sz w:val="24"/>
              </w:rPr>
            </w:pPr>
            <w:r>
              <w:rPr>
                <w:rFonts w:ascii="Times New Roman" w:hAnsi="宋体" w:cs="Times New Roman"/>
                <w:b/>
                <w:color w:val="auto"/>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color w:val="auto"/>
                <w:sz w:val="24"/>
              </w:rPr>
            </w:pPr>
          </w:p>
          <w:p>
            <w:pPr>
              <w:spacing w:line="280" w:lineRule="exact"/>
              <w:ind w:firstLine="482" w:firstLineChars="200"/>
              <w:jc w:val="center"/>
              <w:rPr>
                <w:rFonts w:ascii="Times New Roman" w:hAnsi="Times New Roman" w:cs="Times New Roman"/>
                <w:b/>
                <w:color w:val="auto"/>
                <w:sz w:val="24"/>
              </w:rPr>
            </w:pPr>
          </w:p>
          <w:p>
            <w:pPr>
              <w:spacing w:line="280" w:lineRule="exact"/>
              <w:jc w:val="center"/>
              <w:rPr>
                <w:rFonts w:ascii="Times New Roman" w:hAnsi="Times New Roman" w:cs="Times New Roman"/>
                <w:b/>
                <w:color w:val="auto"/>
                <w:sz w:val="24"/>
              </w:rPr>
            </w:pPr>
            <w:r>
              <w:rPr>
                <w:rFonts w:ascii="Times New Roman" w:hAnsi="宋体" w:cs="Times New Roman"/>
                <w:b/>
                <w:color w:val="auto"/>
                <w:sz w:val="24"/>
              </w:rPr>
              <w:t>机构名称（盖章）：</w:t>
            </w:r>
          </w:p>
          <w:p>
            <w:pPr>
              <w:spacing w:line="280" w:lineRule="exact"/>
              <w:jc w:val="center"/>
              <w:rPr>
                <w:rFonts w:ascii="Times New Roman" w:hAnsi="Times New Roman" w:cs="Times New Roman"/>
                <w:color w:val="auto"/>
              </w:rPr>
            </w:pPr>
            <w:r>
              <w:rPr>
                <w:rFonts w:ascii="Times New Roman" w:hAnsi="宋体" w:cs="Times New Roman"/>
                <w:b/>
                <w:color w:val="auto"/>
                <w:sz w:val="24"/>
              </w:rPr>
              <w:t>年</w:t>
            </w:r>
            <w:r>
              <w:rPr>
                <w:rFonts w:ascii="Times New Roman" w:hAnsi="Times New Roman" w:cs="Times New Roman"/>
                <w:b/>
                <w:color w:val="auto"/>
                <w:sz w:val="24"/>
              </w:rPr>
              <w:t xml:space="preserve">   </w:t>
            </w:r>
            <w:r>
              <w:rPr>
                <w:rFonts w:ascii="Times New Roman" w:hAnsi="宋体" w:cs="Times New Roman"/>
                <w:b/>
                <w:color w:val="auto"/>
                <w:sz w:val="24"/>
              </w:rPr>
              <w:t>月</w:t>
            </w:r>
            <w:r>
              <w:rPr>
                <w:rFonts w:ascii="Times New Roman" w:hAnsi="Times New Roman" w:cs="Times New Roman"/>
                <w:b/>
                <w:color w:val="auto"/>
                <w:sz w:val="24"/>
              </w:rPr>
              <w:t xml:space="preserve">   </w:t>
            </w:r>
            <w:r>
              <w:rPr>
                <w:rFonts w:ascii="Times New Roman" w:hAnsi="宋体" w:cs="Times New Roman"/>
                <w:b/>
                <w:color w:val="auto"/>
                <w:sz w:val="24"/>
              </w:rPr>
              <w:t>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color w:val="auto"/>
                <w:sz w:val="24"/>
              </w:rPr>
            </w:pPr>
          </w:p>
        </w:tc>
      </w:tr>
      <w:tr>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color w:val="auto"/>
                <w:sz w:val="24"/>
              </w:rPr>
            </w:pPr>
            <w:r>
              <w:rPr>
                <w:rFonts w:ascii="Times New Roman" w:hAnsi="宋体" w:cs="Times New Roman"/>
                <w:color w:val="auto"/>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color w:val="auto"/>
                <w:sz w:val="24"/>
              </w:rPr>
            </w:pPr>
          </w:p>
        </w:tc>
      </w:tr>
      <w:tr>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color w:val="auto"/>
                <w:sz w:val="24"/>
              </w:rPr>
            </w:pPr>
          </w:p>
          <w:p>
            <w:pPr>
              <w:spacing w:line="320" w:lineRule="exact"/>
              <w:rPr>
                <w:rFonts w:ascii="Times New Roman" w:hAnsi="Times New Roman" w:cs="Times New Roman"/>
                <w:b/>
                <w:color w:val="auto"/>
                <w:sz w:val="24"/>
              </w:rPr>
            </w:pPr>
            <w:r>
              <w:rPr>
                <w:rFonts w:ascii="Times New Roman" w:hAnsi="宋体" w:cs="Times New Roman"/>
                <w:color w:val="auto"/>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r>
              <w:rPr>
                <w:rFonts w:ascii="Times New Roman" w:hAnsi="宋体" w:cs="Times New Roman"/>
                <w:color w:val="auto"/>
                <w:sz w:val="24"/>
              </w:rPr>
              <w:t>经办人：</w:t>
            </w:r>
          </w:p>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r>
              <w:rPr>
                <w:rFonts w:ascii="Times New Roman" w:hAnsi="宋体" w:cs="Times New Roman"/>
                <w:color w:val="auto"/>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color w:val="auto"/>
                <w:sz w:val="24"/>
              </w:rPr>
            </w:pPr>
          </w:p>
        </w:tc>
      </w:tr>
    </w:tbl>
    <w:p>
      <w:pPr>
        <w:spacing w:line="320" w:lineRule="exact"/>
        <w:rPr>
          <w:rFonts w:ascii="Times New Roman" w:hAnsi="Times New Roman" w:cs="Times New Roman"/>
          <w:b/>
          <w:color w:val="auto"/>
        </w:rPr>
      </w:pPr>
      <w:r>
        <w:rPr>
          <w:rFonts w:ascii="Times New Roman" w:hAnsi="宋体" w:cs="Times New Roman"/>
          <w:b/>
          <w:color w:val="auto"/>
        </w:rPr>
        <w:t>填表说明：</w:t>
      </w:r>
    </w:p>
    <w:p>
      <w:pPr>
        <w:spacing w:line="320" w:lineRule="exact"/>
        <w:ind w:firstLine="420" w:firstLineChars="200"/>
        <w:rPr>
          <w:rFonts w:ascii="Times New Roman" w:hAnsi="Times New Roman" w:cs="Times New Roman"/>
          <w:color w:val="auto"/>
        </w:rPr>
      </w:pPr>
      <w:r>
        <w:rPr>
          <w:rFonts w:ascii="Times New Roman" w:hAnsi="Times New Roman" w:cs="Times New Roman"/>
          <w:color w:val="auto"/>
        </w:rPr>
        <w:t>1</w:t>
      </w:r>
      <w:r>
        <w:rPr>
          <w:rFonts w:ascii="Times New Roman" w:hAnsi="宋体" w:cs="Times New Roman"/>
          <w:color w:val="auto"/>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color w:val="auto"/>
          <w:sz w:val="28"/>
          <w:szCs w:val="28"/>
        </w:rPr>
      </w:pPr>
      <w:r>
        <w:rPr>
          <w:rFonts w:ascii="Times New Roman" w:hAnsi="Times New Roman" w:cs="Times New Roman"/>
          <w:color w:val="auto"/>
        </w:rPr>
        <w:t>2</w:t>
      </w:r>
      <w:r>
        <w:rPr>
          <w:rFonts w:ascii="Times New Roman" w:hAnsi="宋体" w:cs="Times New Roman"/>
          <w:color w:val="auto"/>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color w:val="auto"/>
          <w:sz w:val="28"/>
          <w:szCs w:val="28"/>
        </w:rPr>
      </w:pPr>
    </w:p>
    <w:p>
      <w:pPr>
        <w:spacing w:line="320" w:lineRule="exact"/>
        <w:rPr>
          <w:rFonts w:ascii="Times New Roman" w:hAnsi="Times New Roman" w:cs="Times New Roman"/>
          <w:color w:val="auto"/>
          <w:sz w:val="28"/>
          <w:szCs w:val="28"/>
        </w:rPr>
      </w:pPr>
    </w:p>
    <w:p>
      <w:pPr>
        <w:spacing w:line="320" w:lineRule="exact"/>
        <w:rPr>
          <w:rFonts w:ascii="Times New Roman" w:hAnsi="Times New Roman" w:cs="Times New Roman"/>
          <w:color w:val="auto"/>
          <w:sz w:val="28"/>
          <w:szCs w:val="28"/>
        </w:rPr>
      </w:pPr>
    </w:p>
    <w:p>
      <w:pPr>
        <w:spacing w:line="320" w:lineRule="exact"/>
        <w:rPr>
          <w:rFonts w:ascii="Times New Roman" w:hAnsi="Times New Roman" w:cs="Times New Roman"/>
          <w:color w:val="auto"/>
          <w:sz w:val="28"/>
          <w:szCs w:val="28"/>
        </w:rPr>
      </w:pPr>
    </w:p>
    <w:p>
      <w:pPr>
        <w:spacing w:line="320" w:lineRule="exact"/>
        <w:rPr>
          <w:rFonts w:ascii="Times New Roman" w:hAnsi="Times New Roman" w:cs="Times New Roman"/>
          <w:color w:val="auto"/>
          <w:sz w:val="28"/>
          <w:szCs w:val="28"/>
        </w:rPr>
      </w:pPr>
    </w:p>
    <w:bookmarkEnd w:id="0"/>
    <w:bookmarkEnd w:id="1"/>
    <w:bookmarkEnd w:id="2"/>
    <w:p>
      <w:pPr>
        <w:widowControl/>
        <w:spacing w:line="384" w:lineRule="auto"/>
        <w:jc w:val="left"/>
        <w:rPr>
          <w:rFonts w:ascii="Times New Roman" w:hAnsi="Times New Roman" w:eastAsia="仿宋_GB2312" w:cs="Times New Roman"/>
          <w:color w:val="auto"/>
          <w:kern w:val="0"/>
          <w:sz w:val="30"/>
          <w:szCs w:val="30"/>
        </w:rPr>
      </w:pPr>
      <w:bookmarkStart w:id="8" w:name="_Toc428779979"/>
      <w:r>
        <w:rPr>
          <w:rFonts w:ascii="Times New Roman" w:hAnsi="Times New Roman" w:eastAsia="仿宋_GB2312" w:cs="Times New Roman"/>
          <w:color w:val="auto"/>
          <w:kern w:val="0"/>
          <w:sz w:val="30"/>
          <w:szCs w:val="30"/>
        </w:rPr>
        <w:t>附录三</w:t>
      </w:r>
    </w:p>
    <w:bookmarkEnd w:id="8"/>
    <w:p>
      <w:pPr>
        <w:jc w:val="center"/>
        <w:rPr>
          <w:rFonts w:ascii="Times New Roman" w:hAnsi="Times New Roman" w:eastAsia="黑体" w:cs="Times New Roman"/>
          <w:color w:val="auto"/>
          <w:sz w:val="30"/>
          <w:szCs w:val="30"/>
        </w:rPr>
      </w:pPr>
      <w:r>
        <w:rPr>
          <w:rFonts w:ascii="Times New Roman" w:hAnsi="黑体" w:eastAsia="黑体" w:cs="Times New Roman"/>
          <w:color w:val="auto"/>
          <w:sz w:val="30"/>
          <w:szCs w:val="30"/>
        </w:rPr>
        <w:t>境内非银行金融机构外汇业务备案表（错误示例）</w:t>
      </w:r>
    </w:p>
    <w:p>
      <w:pPr>
        <w:spacing w:line="320" w:lineRule="exact"/>
        <w:rPr>
          <w:rFonts w:ascii="Times New Roman" w:hAnsi="Times New Roman" w:eastAsia="仿宋_GB2312" w:cs="Times New Roman"/>
          <w:color w:val="auto"/>
          <w:sz w:val="30"/>
          <w:szCs w:val="30"/>
        </w:rPr>
      </w:pPr>
      <w:r>
        <w:rPr>
          <w:rFonts w:ascii="Times New Roman" w:hAnsi="Times New Roman" w:eastAsia="华文仿宋" w:cs="Times New Roman"/>
          <w:color w:val="auto"/>
          <w:sz w:val="24"/>
        </w:rPr>
        <w:t>备案日期：  年  月  日                   编号（外汇局填写）：</w:t>
      </w:r>
    </w:p>
    <w:tbl>
      <w:tblPr>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277"/>
        <w:gridCol w:w="7622"/>
        <w:gridCol w:w="457"/>
      </w:tblGrid>
      <w:tr>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auto"/>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第二联</w:t>
            </w:r>
          </w:p>
          <w:p>
            <w:pPr>
              <w:spacing w:line="320" w:lineRule="exact"/>
              <w:jc w:val="center"/>
              <w:rPr>
                <w:rFonts w:ascii="Times New Roman" w:hAnsi="Times New Roman" w:eastAsia="华文仿宋" w:cs="Times New Roman"/>
                <w:b/>
                <w:color w:val="auto"/>
                <w:sz w:val="24"/>
              </w:rPr>
            </w:pPr>
          </w:p>
          <w:p>
            <w:pPr>
              <w:spacing w:line="320" w:lineRule="exact"/>
              <w:jc w:val="center"/>
              <w:rPr>
                <w:rFonts w:ascii="Times New Roman" w:hAnsi="Times New Roman" w:eastAsia="华文仿宋" w:cs="Times New Roman"/>
                <w:color w:val="auto"/>
                <w:sz w:val="24"/>
              </w:rPr>
            </w:pPr>
            <w:r>
              <w:rPr>
                <w:rFonts w:ascii="Times New Roman" w:hAnsi="Times New Roman" w:eastAsia="华文仿宋" w:cs="Times New Roman"/>
                <w:b/>
                <w:color w:val="auto"/>
                <w:sz w:val="24"/>
              </w:rPr>
              <w:t>退备案机构</w:t>
            </w:r>
          </w:p>
        </w:tc>
      </w:tr>
      <w:tr>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□证券公司  □基金管理公司  □期货公司     □企业集团财务公司</w:t>
            </w:r>
          </w:p>
          <w:p>
            <w:pPr>
              <w:spacing w:line="32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color w:val="auto"/>
                <w:sz w:val="24"/>
              </w:rPr>
            </w:pPr>
          </w:p>
        </w:tc>
      </w:tr>
      <w:tr>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kern w:val="2"/>
                <w:sz w:val="24"/>
                <w:szCs w:val="22"/>
                <w:lang w:val="en-US" w:eastAsia="zh-CN" w:bidi="ar-SA"/>
              </w:rPr>
              <w:pict>
                <v:shape id="椭圆 105" o:spid="_x0000_s1061" type="#_x0000_t3" style="position:absolute;left:0;margin-left:-17.95pt;margin-top:-1.4pt;height:38.35pt;width:91.6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华文仿宋" w:cs="Times New Roman"/>
                <w:b/>
                <w:color w:val="auto"/>
                <w:sz w:val="24"/>
              </w:rPr>
              <w:t>主要经营</w:t>
            </w:r>
          </w:p>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kern w:val="2"/>
                <w:sz w:val="24"/>
                <w:szCs w:val="22"/>
                <w:lang w:val="en-US" w:eastAsia="zh-CN" w:bidi="ar-SA"/>
              </w:rPr>
              <w:pict>
                <v:shape id="直接箭头连接符 104" o:spid="_x0000_s1062" type="#_x0000_t32" style="position:absolute;left:0;flip:x;margin-left:-17.95pt;margin-top:14.25pt;height:36.5pt;width:11.0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华文仿宋" w:cs="Times New Roman"/>
                <w:b/>
                <w:color w:val="auto"/>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color w:val="auto"/>
                <w:sz w:val="24"/>
              </w:rPr>
            </w:pPr>
          </w:p>
        </w:tc>
      </w:tr>
      <w:tr>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color w:val="auto"/>
              </w:rPr>
            </w:pPr>
            <w:r>
              <w:rPr>
                <w:rFonts w:ascii="Times New Roman" w:hAnsi="Times New Roman" w:eastAsia="华文仿宋" w:cs="Times New Roman"/>
                <w:b/>
                <w:color w:val="auto"/>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color w:val="auto"/>
              </w:rPr>
            </w:pPr>
            <w:r>
              <w:rPr>
                <w:rFonts w:ascii="Times New Roman" w:hAnsi="Times New Roman" w:eastAsia="华文仿宋" w:cs="Times New Roman"/>
                <w:color w:val="auto"/>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color w:val="auto"/>
                <w:sz w:val="24"/>
              </w:rPr>
            </w:pPr>
          </w:p>
        </w:tc>
      </w:tr>
      <w:tr>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color w:val="auto"/>
                <w:sz w:val="24"/>
              </w:rPr>
            </w:pPr>
            <w:r>
              <w:rPr>
                <w:rFonts w:ascii="Times New Roman" w:hAnsi="Times New Roman" w:eastAsia="华文仿宋" w:cs="Times New Roman"/>
                <w:b/>
                <w:color w:val="auto"/>
                <w:kern w:val="2"/>
                <w:sz w:val="24"/>
                <w:szCs w:val="22"/>
                <w:lang w:val="en-US" w:eastAsia="zh-CN" w:bidi="ar-SA"/>
              </w:rPr>
              <w:pict>
                <v:rect id="矩形 103" o:spid="_x0000_s1063" style="position:absolute;left:0;margin-left:-57.5pt;margin-top:-60.3pt;height:69.2pt;width:50.8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color w:val="auto"/>
                            <w:sz w:val="15"/>
                          </w:rPr>
                        </w:pPr>
                        <w:r>
                          <w:rPr>
                            <w:rFonts w:hint="eastAsia" w:ascii="Times New Roman" w:hAnsi="Times New Roman" w:eastAsia="仿宋_GB2312" w:cs="Times New Roman"/>
                            <w:color w:val="auto"/>
                            <w:szCs w:val="30"/>
                          </w:rPr>
                          <w:t>申请材料未明确业务范围</w:t>
                        </w:r>
                      </w:p>
                    </w:txbxContent>
                  </v:textbox>
                </v:rect>
              </w:pict>
            </w:r>
            <w:r>
              <w:rPr>
                <w:rFonts w:ascii="Times New Roman" w:hAnsi="Times New Roman" w:eastAsia="华文仿宋" w:cs="Times New Roman"/>
                <w:b/>
                <w:color w:val="auto"/>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□B股经纪</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□跨境证券经纪</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□跨境期货及衍生产品经纪</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□跨境证券承销业务</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□对外证券及衍生品投资</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□境外基金或产品销售</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□跨境并购</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□跨境信托</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□跨境结构性产品</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□跨境证券投资咨询</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color w:val="auto"/>
                <w:sz w:val="24"/>
              </w:rPr>
            </w:pPr>
          </w:p>
        </w:tc>
      </w:tr>
      <w:tr>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color w:val="auto"/>
                <w:sz w:val="24"/>
              </w:rPr>
            </w:pPr>
            <w:r>
              <w:rPr>
                <w:rFonts w:ascii="Times New Roman" w:hAnsi="Times New Roman" w:eastAsia="华文仿宋" w:cs="Times New Roman"/>
                <w:b/>
                <w:color w:val="auto"/>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□外汇存款</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□外汇贷款</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□外汇同业拆借</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□境内外币证券承销</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□境内外汇信托/集合计划</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□境内外汇资产管理</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□境内外汇买卖</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color w:val="auto"/>
                <w:sz w:val="24"/>
              </w:rPr>
            </w:pPr>
          </w:p>
        </w:tc>
      </w:tr>
      <w:tr>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外汇局审核意见</w:t>
            </w:r>
          </w:p>
          <w:p>
            <w:pPr>
              <w:spacing w:line="320" w:lineRule="exact"/>
              <w:jc w:val="center"/>
              <w:rPr>
                <w:rFonts w:ascii="Times New Roman" w:hAnsi="Times New Roman" w:eastAsia="华文仿宋" w:cs="Times New Roman"/>
                <w:b/>
                <w:color w:val="auto"/>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经审核，同意公司业务予以备案。</w:t>
            </w:r>
          </w:p>
          <w:p>
            <w:pPr>
              <w:spacing w:line="320" w:lineRule="exact"/>
              <w:rPr>
                <w:rFonts w:ascii="Times New Roman" w:hAnsi="Times New Roman" w:eastAsia="华文仿宋" w:cs="Times New Roman"/>
                <w:b/>
                <w:color w:val="auto"/>
                <w:sz w:val="24"/>
              </w:rPr>
            </w:pPr>
          </w:p>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（资本项目外汇业务专用章）</w:t>
            </w:r>
          </w:p>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color w:val="auto"/>
                <w:sz w:val="24"/>
              </w:rPr>
            </w:pPr>
          </w:p>
        </w:tc>
      </w:tr>
    </w:tbl>
    <w:p>
      <w:pPr>
        <w:spacing w:line="320" w:lineRule="exact"/>
        <w:rPr>
          <w:rFonts w:ascii="Times New Roman" w:hAnsi="Times New Roman" w:eastAsia="华文仿宋" w:cs="Times New Roman"/>
          <w:b/>
          <w:color w:val="auto"/>
        </w:rPr>
      </w:pPr>
      <w:r>
        <w:rPr>
          <w:rFonts w:ascii="Times New Roman" w:hAnsi="Times New Roman" w:eastAsia="华文仿宋" w:cs="Times New Roman"/>
          <w:b/>
          <w:color w:val="auto"/>
        </w:rPr>
        <w:t>填表说明：</w:t>
      </w:r>
    </w:p>
    <w:p>
      <w:pPr>
        <w:spacing w:line="320" w:lineRule="exact"/>
        <w:ind w:firstLine="420" w:firstLineChars="200"/>
        <w:rPr>
          <w:rFonts w:ascii="Times New Roman" w:hAnsi="Times New Roman" w:eastAsia="华文仿宋" w:cs="Times New Roman"/>
          <w:color w:val="auto"/>
        </w:rPr>
      </w:pPr>
      <w:r>
        <w:rPr>
          <w:rFonts w:ascii="Times New Roman" w:hAnsi="Times New Roman" w:eastAsia="华文仿宋" w:cs="Times New Roman"/>
          <w:color w:val="auto"/>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color w:val="auto"/>
        </w:rPr>
      </w:pPr>
      <w:r>
        <w:rPr>
          <w:rFonts w:ascii="Times New Roman" w:hAnsi="Times New Roman" w:eastAsia="华文仿宋" w:cs="Times New Roman"/>
          <w:color w:val="auto"/>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附录四    </w:t>
      </w:r>
    </w:p>
    <w:p>
      <w:pPr>
        <w:adjustRightInd w:val="0"/>
        <w:snapToGrid w:val="0"/>
        <w:spacing w:line="360" w:lineRule="auto"/>
        <w:jc w:val="center"/>
        <w:rPr>
          <w:rFonts w:ascii="Times New Roman" w:hAnsi="Times New Roman" w:eastAsia="黑体" w:cs="Times New Roman"/>
          <w:color w:val="auto"/>
          <w:sz w:val="30"/>
          <w:szCs w:val="30"/>
        </w:rPr>
      </w:pPr>
    </w:p>
    <w:p>
      <w:pPr>
        <w:adjustRightInd w:val="0"/>
        <w:snapToGrid w:val="0"/>
        <w:spacing w:line="360" w:lineRule="auto"/>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常见问题</w:t>
      </w:r>
    </w:p>
    <w:p>
      <w:pPr>
        <w:adjustRightInd w:val="0"/>
        <w:snapToGrid w:val="0"/>
        <w:spacing w:line="360" w:lineRule="auto"/>
        <w:jc w:val="center"/>
        <w:rPr>
          <w:rFonts w:ascii="Times New Roman" w:hAnsi="Times New Roman" w:eastAsia="黑体" w:cs="Times New Roman"/>
          <w:color w:val="auto"/>
          <w:sz w:val="30"/>
          <w:szCs w:val="30"/>
        </w:rPr>
      </w:pPr>
    </w:p>
    <w:p>
      <w:pPr>
        <w:pStyle w:val="22"/>
        <w:adjustRightInd w:val="0"/>
        <w:snapToGrid w:val="0"/>
        <w:spacing w:line="360" w:lineRule="auto"/>
        <w:ind w:firstLine="600"/>
        <w:rPr>
          <w:rFonts w:ascii="Times New Roman" w:hAnsi="Times New Roman" w:eastAsia="仿宋_GB2312"/>
          <w:bCs/>
          <w:color w:val="auto"/>
          <w:kern w:val="0"/>
          <w:sz w:val="30"/>
          <w:szCs w:val="30"/>
        </w:rPr>
      </w:pPr>
      <w:r>
        <w:rPr>
          <w:rFonts w:ascii="Times New Roman" w:hAnsi="Times New Roman" w:eastAsia="仿宋_GB2312"/>
          <w:bCs/>
          <w:color w:val="auto"/>
          <w:kern w:val="0"/>
          <w:sz w:val="30"/>
          <w:szCs w:val="30"/>
        </w:rPr>
        <w:t>问：非银行金融机构外汇业务备案管理应注意哪些事项？</w:t>
      </w:r>
    </w:p>
    <w:p>
      <w:pPr>
        <w:pStyle w:val="22"/>
        <w:adjustRightInd w:val="0"/>
        <w:snapToGrid w:val="0"/>
        <w:spacing w:line="360" w:lineRule="auto"/>
        <w:ind w:firstLine="600"/>
        <w:rPr>
          <w:rFonts w:ascii="Times New Roman" w:hAnsi="Times New Roman" w:eastAsia="仿宋_GB2312"/>
          <w:bCs/>
          <w:color w:val="auto"/>
          <w:kern w:val="0"/>
          <w:sz w:val="30"/>
          <w:szCs w:val="30"/>
        </w:rPr>
      </w:pPr>
      <w:r>
        <w:rPr>
          <w:rFonts w:ascii="Times New Roman" w:hAnsi="Times New Roman" w:eastAsia="仿宋_GB2312"/>
          <w:bCs/>
          <w:color w:val="auto"/>
          <w:kern w:val="0"/>
          <w:sz w:val="30"/>
          <w:szCs w:val="30"/>
        </w:rPr>
        <w:t>答：非银行金融机构经监管机构或其授权的行业管理组织许可或同意或认定相关资质的，应在开展相关外汇业务前30日内到所在地外汇局办理开展外汇业务备案登记。</w:t>
      </w:r>
    </w:p>
    <w:p>
      <w:pPr>
        <w:pStyle w:val="22"/>
        <w:adjustRightInd w:val="0"/>
        <w:snapToGrid w:val="0"/>
        <w:spacing w:line="360" w:lineRule="auto"/>
        <w:ind w:firstLine="600"/>
        <w:rPr>
          <w:rFonts w:ascii="Times New Roman" w:hAnsi="Times New Roman"/>
          <w:color w:val="auto"/>
        </w:rPr>
      </w:pPr>
      <w:r>
        <w:rPr>
          <w:rFonts w:ascii="Times New Roman" w:hAnsi="Times New Roman" w:eastAsia="仿宋_GB2312"/>
          <w:bCs/>
          <w:color w:val="auto"/>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qFormat/>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602</Words>
  <Characters>3433</Characters>
  <Lines>28</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韩美琪/收支处/长春/PBC</cp:lastModifiedBy>
  <cp:lastPrinted>2021-04-07T01:21:00Z</cp:lastPrinted>
  <dcterms:modified xsi:type="dcterms:W3CDTF">2023-09-01T08:19:54Z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