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color w:val="000000"/>
          <w:sz w:val="48"/>
          <w:szCs w:val="48"/>
        </w:rPr>
      </w:pPr>
      <w:r>
        <w:rPr>
          <w:rFonts w:ascii="Times New Roman" w:hAnsi="Times New Roman" w:eastAsia="黑体" w:cs="Times New Roman"/>
          <w:color w:val="000000"/>
          <w:sz w:val="48"/>
          <w:szCs w:val="48"/>
        </w:rPr>
        <w:t>编号：57014</w:t>
      </w:r>
      <w:r>
        <w:rPr>
          <w:rFonts w:hint="eastAsia" w:ascii="Times New Roman" w:hAnsi="Times New Roman" w:eastAsia="黑体" w:cs="Times New Roman"/>
          <w:color w:val="000000"/>
          <w:sz w:val="48"/>
          <w:szCs w:val="48"/>
        </w:rPr>
        <w:t xml:space="preserve">               </w:t>
      </w:r>
      <w:r>
        <w:rPr>
          <w:rFonts w:ascii="Times New Roman" w:hAnsi="Times New Roman" w:eastAsia="黑体" w:cs="Times New Roman"/>
          <w:color w:val="000000"/>
          <w:kern w:val="2"/>
          <w:sz w:val="48"/>
          <w:szCs w:val="48"/>
          <w:lang w:val="en-US" w:eastAsia="zh-CN" w:bidi="ar-SA"/>
        </w:rPr>
        <w:pict>
          <v:shape id="图片框 1068" o:spid="_x0000_s1026" type="#_x0000_t75" style="height:70.15pt;width:86.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52"/>
          <w:szCs w:val="52"/>
        </w:rPr>
      </w:pP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“保险、证券公司等非银行金融机构外汇业务市场准入、退出审批”</w:t>
      </w: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行政审批服务指南</w:t>
      </w: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发布机构：国家外汇管理局</w:t>
      </w:r>
      <w:r>
        <w:rPr>
          <w:rFonts w:hint="eastAsia" w:ascii="Times New Roman" w:hAnsi="Times New Roman" w:eastAsia="仿宋_GB2312" w:cs="Times New Roman"/>
          <w:color w:val="000000"/>
          <w:sz w:val="30"/>
          <w:szCs w:val="30"/>
        </w:rPr>
        <w:t>吉林省分局</w:t>
      </w:r>
    </w:p>
    <w:p>
      <w:pPr>
        <w:ind w:right="300"/>
        <w:rPr>
          <w:rFonts w:ascii="Times New Roman" w:hAnsi="Times New Roman" w:eastAsia="仿宋_GB2312" w:cs="Times New Roman"/>
          <w:color w:val="000000"/>
          <w:sz w:val="30"/>
          <w:szCs w:val="30"/>
        </w:rPr>
        <w:sectPr>
          <w:footerReference r:id="rId4" w:type="default"/>
          <w:pgSz w:w="11906" w:h="16838"/>
          <w:pgMar w:top="1440" w:right="1800" w:bottom="1440" w:left="1800" w:header="851" w:footer="992" w:gutter="0"/>
          <w:pgNumType w:start="1"/>
          <w:cols w:space="720" w:num="1"/>
          <w:docGrid w:type="lines" w:linePitch="312"/>
        </w:sectPr>
      </w:pPr>
    </w:p>
    <w:p>
      <w:pPr>
        <w:adjustRightInd w:val="0"/>
        <w:spacing w:line="360" w:lineRule="auto"/>
        <w:jc w:val="left"/>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 xml:space="preserve">    </w:t>
      </w:r>
      <w:r>
        <w:rPr>
          <w:rFonts w:ascii="Times New Roman" w:hAnsi="Times New Roman" w:eastAsia="黑体" w:cs="Times New Roman"/>
          <w:color w:val="000000"/>
          <w:sz w:val="30"/>
          <w:szCs w:val="30"/>
        </w:rPr>
        <w:t>一、项目信息</w:t>
      </w:r>
    </w:p>
    <w:p>
      <w:pPr>
        <w:adjustRightIn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项目编号：57014；</w:t>
      </w:r>
    </w:p>
    <w:p>
      <w:pPr>
        <w:adjustRightIn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审批类别：行政许可。</w:t>
      </w:r>
    </w:p>
    <w:p>
      <w:pPr>
        <w:adjustRightIn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二、适用范围</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三、设定依据</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w:t>
      </w:r>
      <w:bookmarkStart w:id="0" w:name="_GoBack"/>
      <w:r>
        <w:rPr>
          <w:rFonts w:ascii="Times New Roman" w:hAnsi="黑体" w:eastAsia="黑体" w:cs="Times New Roman"/>
          <w:color w:val="000000"/>
          <w:sz w:val="30"/>
          <w:szCs w:val="30"/>
        </w:rPr>
        <w:t>非银行金融机构（不含保险公司）结售汇业务资格审批（含初审）</w:t>
      </w:r>
      <w:bookmarkEnd w:id="0"/>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（一）办理依据</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（二）受理机构</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仿宋_GB2312" w:cs="Times New Roman"/>
          <w:color w:val="000000"/>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（三）决定机构</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仿宋_GB2312" w:cs="Times New Roman"/>
          <w:color w:val="000000"/>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无数量限制。</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（五）办事条件</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1.申请人条件</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（六）申请材料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4"/>
        <w:gridCol w:w="3879"/>
        <w:gridCol w:w="1000"/>
        <w:gridCol w:w="559"/>
        <w:gridCol w:w="851"/>
        <w:gridCol w:w="567"/>
        <w:gridCol w:w="1226"/>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备注</w:t>
            </w:r>
          </w:p>
        </w:tc>
      </w:tr>
      <w:tr>
        <w:trPr>
          <w:trHeight w:val="951"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r>
              <w:rPr>
                <w:rFonts w:hint="eastAsia" w:ascii="Times New Roman" w:hAnsi="Times New Roman" w:eastAsia="仿宋_GB2312" w:cs="Times New Roman"/>
                <w:color w:val="000000"/>
                <w:sz w:val="24"/>
                <w:szCs w:val="24"/>
              </w:rPr>
              <w:t>（包括机构基本情况、机构自身外汇收支和结售汇情况、开展结售汇业务可行性分析、结售汇业务计划和种类、结售汇综合头寸需求等）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结售汇业务内部管理规章制度</w:t>
            </w:r>
            <w:r>
              <w:rPr>
                <w:rFonts w:hint="eastAsia" w:ascii="Times New Roman" w:hAnsi="Times New Roman" w:eastAsia="仿宋_GB2312" w:cs="Times New Roman"/>
                <w:color w:val="000000"/>
                <w:sz w:val="24"/>
                <w:szCs w:val="24"/>
              </w:rPr>
              <w:t>（包括结售汇业务操作规程、结售汇业务单证管理制度、结售汇业务统计报告制度、结售汇综合头寸管理制度、结售汇业务会计科目和核算办法、结售汇业务内部审计、风险控制及合规制度、从业人员岗位责任制度、结售汇业务授权管理制度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具备办理结售汇业务所必需的软硬件设施的说明材料</w:t>
            </w:r>
            <w:r>
              <w:rPr>
                <w:rFonts w:hint="eastAsia" w:ascii="Times New Roman" w:hAnsi="Times New Roman" w:eastAsia="仿宋_GB2312" w:cs="Times New Roman"/>
                <w:color w:val="000000"/>
                <w:sz w:val="24"/>
                <w:szCs w:val="24"/>
              </w:rPr>
              <w:t>（如结售汇汇价接收、发送管理系统及查询报送数据设施等）。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bl>
    <w:p>
      <w:pPr>
        <w:rPr>
          <w:rFonts w:ascii="Times New Roman" w:hAnsi="Times New Roman" w:eastAsia="黑体" w:cs="Times New Roman"/>
          <w:color w:val="000000"/>
          <w:sz w:val="30"/>
          <w:szCs w:val="30"/>
        </w:rPr>
      </w:pP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1.申请人提交申请；</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（九）办理方式</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（十）审批时限</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初审：申请人提交材料备齐备之日起初审20个工作日。国家外汇管理局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国家外汇管理局收到国家外汇管理局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不收费。</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（十二）审批结果</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批复文件。</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初审意见上报国家外汇管理局。国家外汇管理局向国家外汇管理局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分局批复后，由国家外汇管理局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分局向申请人出具批复文件</w:t>
      </w:r>
      <w:r>
        <w:rPr>
          <w:rFonts w:hint="eastAsia" w:ascii="Times New Roman" w:hAnsi="Times New Roman" w:eastAsia="仿宋_GB2312" w:cs="Times New Roman"/>
          <w:color w:val="000000"/>
          <w:sz w:val="30"/>
          <w:szCs w:val="30"/>
        </w:rPr>
        <w:t>。</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（十三）结果送达</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国家外汇管理局通过发文回复国家外汇管理局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分局出具的批复文件通过现场告知或电话通知申请人，并通过现场领取或邮寄方式将结果送达</w:t>
      </w:r>
      <w:r>
        <w:rPr>
          <w:rFonts w:hint="eastAsia" w:ascii="Times New Roman" w:hAnsi="Times New Roman" w:eastAsia="仿宋_GB2312" w:cs="Times New Roman"/>
          <w:color w:val="000000"/>
          <w:sz w:val="30"/>
          <w:szCs w:val="30"/>
        </w:rPr>
        <w:t>。</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ind w:firstLine="600" w:firstLineChars="200"/>
        <w:rPr>
          <w:rFonts w:ascii="仿宋_GB2312" w:hAnsi="仿宋" w:eastAsia="仿宋_GB2312" w:cs="仿宋"/>
          <w:b/>
          <w:color w:val="000000"/>
          <w:sz w:val="30"/>
          <w:szCs w:val="30"/>
        </w:rPr>
      </w:pPr>
      <w:r>
        <w:rPr>
          <w:rFonts w:ascii="Times New Roman" w:hAnsi="Times New Roman" w:eastAsia="黑体" w:cs="Times New Roman"/>
          <w:color w:val="000000"/>
          <w:sz w:val="30"/>
          <w:szCs w:val="30"/>
        </w:rPr>
        <w:t>（十五）咨询途径、监督和投诉</w:t>
      </w:r>
    </w:p>
    <w:p>
      <w:pPr>
        <w:ind w:firstLine="600"/>
        <w:rPr>
          <w:rFonts w:eastAsia="仿宋_GB2312"/>
          <w:color w:val="000000"/>
          <w:sz w:val="30"/>
          <w:szCs w:val="30"/>
        </w:rPr>
      </w:pPr>
      <w:r>
        <w:rPr>
          <w:rFonts w:eastAsia="仿宋_GB2312"/>
          <w:color w:val="000000"/>
          <w:sz w:val="30"/>
          <w:szCs w:val="30"/>
        </w:rPr>
        <w:t>向国家外汇管理局咨询、监督投诉等可通过国家外汇管理局官方互联网站公众交流栏目进行</w:t>
      </w:r>
      <w:r>
        <w:rPr>
          <w:rFonts w:hint="eastAsia" w:eastAsia="仿宋_GB2312"/>
          <w:color w:val="000000"/>
          <w:sz w:val="30"/>
          <w:szCs w:val="30"/>
        </w:rPr>
        <w:t>，</w:t>
      </w:r>
      <w:r>
        <w:rPr>
          <w:rFonts w:eastAsia="仿宋_GB2312"/>
          <w:color w:val="000000"/>
          <w:sz w:val="30"/>
          <w:szCs w:val="30"/>
        </w:rPr>
        <w:t>网址为</w:t>
      </w:r>
      <w:r>
        <w:rPr>
          <w:color w:val="000000"/>
        </w:rPr>
        <w:fldChar w:fldCharType="begin"/>
      </w:r>
      <w:r>
        <w:rPr>
          <w:color w:val="000000"/>
        </w:rPr>
        <w:instrText xml:space="preserve">HYPERLINK "http://www.safe.gov.cn/" </w:instrText>
      </w:r>
      <w:r>
        <w:rPr>
          <w:color w:val="000000"/>
        </w:rPr>
        <w:fldChar w:fldCharType="separate"/>
      </w:r>
      <w:r>
        <w:rPr>
          <w:rFonts w:eastAsia="仿宋_GB2312"/>
          <w:color w:val="000000"/>
          <w:spacing w:val="-4"/>
          <w:sz w:val="30"/>
          <w:szCs w:val="30"/>
        </w:rPr>
        <w:t>www.safe.gov.cn</w:t>
      </w:r>
      <w:r>
        <w:rPr>
          <w:color w:val="000000"/>
        </w:rPr>
        <w:fldChar w:fldCharType="end"/>
      </w:r>
      <w:r>
        <w:rPr>
          <w:rFonts w:eastAsia="仿宋_GB2312"/>
          <w:color w:val="000000"/>
          <w:sz w:val="30"/>
          <w:szCs w:val="30"/>
        </w:rPr>
        <w:t>。</w:t>
      </w:r>
    </w:p>
    <w:p>
      <w:pPr>
        <w:ind w:firstLine="600"/>
        <w:rPr>
          <w:rFonts w:ascii="Times New Roman" w:hAnsi="Times New Roman" w:eastAsia="仿宋_GB2312" w:cs="Times New Roman"/>
          <w:color w:val="000000"/>
          <w:sz w:val="30"/>
          <w:szCs w:val="30"/>
          <w:highlight w:val="yellow"/>
        </w:rPr>
      </w:pPr>
      <w:r>
        <w:rPr>
          <w:rFonts w:eastAsia="仿宋_GB2312"/>
          <w:color w:val="000000"/>
          <w:sz w:val="30"/>
          <w:szCs w:val="30"/>
        </w:rPr>
        <w:t>向外汇局</w:t>
      </w:r>
      <w:r>
        <w:rPr>
          <w:rFonts w:hint="eastAsia" w:eastAsia="仿宋_GB2312"/>
          <w:color w:val="000000"/>
          <w:sz w:val="30"/>
          <w:szCs w:val="30"/>
        </w:rPr>
        <w:t>吉林省分局及</w:t>
      </w:r>
      <w:r>
        <w:rPr>
          <w:rFonts w:hint="eastAsia" w:eastAsia="仿宋_GB2312"/>
          <w:color w:val="000000"/>
          <w:sz w:val="30"/>
          <w:szCs w:val="30"/>
          <w:lang w:eastAsia="zh-CN"/>
        </w:rPr>
        <w:t>分支机构</w:t>
      </w:r>
      <w:r>
        <w:rPr>
          <w:rFonts w:eastAsia="仿宋_GB2312"/>
          <w:color w:val="000000"/>
          <w:sz w:val="30"/>
          <w:szCs w:val="30"/>
        </w:rPr>
        <w:t>进行咨询、监督和投诉等可通过</w:t>
      </w:r>
      <w:r>
        <w:rPr>
          <w:rFonts w:hint="eastAsia" w:eastAsia="仿宋_GB2312"/>
          <w:color w:val="000000"/>
          <w:sz w:val="30"/>
          <w:szCs w:val="30"/>
        </w:rPr>
        <w:t>国家外汇管理局吉林省分局官方互联网站“咨询反馈”栏目进行，网址为</w:t>
      </w:r>
      <w:r>
        <w:rPr>
          <w:color w:val="000000"/>
        </w:rPr>
        <w:fldChar w:fldCharType="begin"/>
      </w:r>
      <w:r>
        <w:rPr>
          <w:color w:val="000000"/>
        </w:rPr>
        <w:instrText xml:space="preserve">HYPERLINK "http://www.safe.gov.cn/jilin" </w:instrText>
      </w:r>
      <w:r>
        <w:rPr>
          <w:color w:val="000000"/>
        </w:rPr>
        <w:fldChar w:fldCharType="separate"/>
      </w:r>
      <w:r>
        <w:rPr>
          <w:rStyle w:val="15"/>
          <w:rFonts w:eastAsia="仿宋_GB2312"/>
          <w:color w:val="000000"/>
          <w:sz w:val="30"/>
          <w:szCs w:val="30"/>
        </w:rPr>
        <w:t>www.safe.gov.cn/jilin</w:t>
      </w:r>
      <w:r>
        <w:rPr>
          <w:color w:val="000000"/>
        </w:rPr>
        <w:fldChar w:fldCharType="end"/>
      </w:r>
      <w:r>
        <w:rPr>
          <w:rFonts w:hint="eastAsia" w:eastAsia="仿宋_GB2312"/>
          <w:color w:val="000000"/>
          <w:sz w:val="30"/>
          <w:szCs w:val="30"/>
        </w:rPr>
        <w:t>，也可通过国家外汇管理局吉林省分局官方互联网站“咨询反馈——联系我们”栏目中</w:t>
      </w:r>
      <w:r>
        <w:rPr>
          <w:rFonts w:eastAsia="仿宋_GB2312"/>
          <w:color w:val="000000"/>
          <w:sz w:val="30"/>
          <w:szCs w:val="30"/>
        </w:rPr>
        <w:t>公布的电话进行。</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六</w:t>
      </w:r>
      <w:r>
        <w:rPr>
          <w:rFonts w:ascii="Times New Roman" w:hAnsi="Times New Roman" w:eastAsia="黑体" w:cs="Times New Roman"/>
          <w:color w:val="000000"/>
          <w:sz w:val="30"/>
          <w:szCs w:val="30"/>
        </w:rPr>
        <w:t>）办公地址和时间</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2.办公时间。周一至周五工作日的8:00-12：00，13：00-17：00</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3.乘车路线。公交车40、631、944、977、运通102、运通103路航天桥南站下车，位于航天桥东南角。</w:t>
      </w:r>
    </w:p>
    <w:p>
      <w:pPr>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4.初审业务</w:t>
      </w:r>
      <w:r>
        <w:rPr>
          <w:rFonts w:eastAsia="仿宋_GB2312"/>
          <w:color w:val="000000"/>
          <w:sz w:val="30"/>
          <w:szCs w:val="30"/>
        </w:rPr>
        <w:t>由国家外汇管理局</w:t>
      </w:r>
      <w:r>
        <w:rPr>
          <w:rFonts w:hint="eastAsia" w:eastAsia="仿宋_GB2312"/>
          <w:color w:val="000000"/>
          <w:sz w:val="30"/>
          <w:szCs w:val="30"/>
          <w:lang w:eastAsia="zh-CN"/>
        </w:rPr>
        <w:t>吉林省分局及分支机构</w:t>
      </w:r>
      <w:r>
        <w:rPr>
          <w:rFonts w:eastAsia="仿宋_GB2312"/>
          <w:color w:val="000000"/>
          <w:sz w:val="30"/>
          <w:szCs w:val="30"/>
        </w:rPr>
        <w:t>办理，</w:t>
      </w:r>
      <w:r>
        <w:rPr>
          <w:rFonts w:hint="eastAsia" w:eastAsia="仿宋_GB2312"/>
          <w:color w:val="000000"/>
          <w:sz w:val="30"/>
          <w:szCs w:val="30"/>
        </w:rPr>
        <w:t>国家外汇管理局吉林省</w:t>
      </w:r>
      <w:r>
        <w:rPr>
          <w:rFonts w:hint="eastAsia" w:eastAsia="仿宋_GB2312"/>
          <w:color w:val="000000"/>
          <w:sz w:val="30"/>
          <w:szCs w:val="30"/>
          <w:lang w:eastAsia="zh-CN"/>
        </w:rPr>
        <w:t>分支机构</w:t>
      </w:r>
      <w:r>
        <w:rPr>
          <w:rFonts w:hint="eastAsia" w:eastAsia="仿宋_GB2312"/>
          <w:color w:val="000000"/>
          <w:sz w:val="30"/>
          <w:szCs w:val="30"/>
        </w:rPr>
        <w:t>的</w:t>
      </w:r>
      <w:r>
        <w:rPr>
          <w:rFonts w:eastAsia="仿宋_GB2312"/>
          <w:color w:val="000000"/>
          <w:sz w:val="30"/>
          <w:szCs w:val="30"/>
        </w:rPr>
        <w:t>办公地址和办公时间见</w:t>
      </w:r>
      <w:r>
        <w:rPr>
          <w:rFonts w:hint="eastAsia" w:eastAsia="仿宋_GB2312"/>
          <w:color w:val="000000"/>
          <w:sz w:val="30"/>
          <w:szCs w:val="30"/>
        </w:rPr>
        <w:t>国家外汇管理局吉林省分局官方互联网站“咨询反馈——联系我们”栏目。</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七</w:t>
      </w:r>
      <w:r>
        <w:rPr>
          <w:rFonts w:ascii="Times New Roman" w:hAnsi="Times New Roman" w:eastAsia="黑体" w:cs="Times New Roman"/>
          <w:color w:val="000000"/>
          <w:sz w:val="30"/>
          <w:szCs w:val="30"/>
        </w:rPr>
        <w:t>）公开查询</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办理时限结束之日后，申请人可通过电话查询。</w:t>
      </w:r>
    </w:p>
    <w:p>
      <w:pPr>
        <w:adjustRightInd w:val="0"/>
        <w:snapToGrid w:val="0"/>
        <w:spacing w:line="360" w:lineRule="auto"/>
        <w:rPr>
          <w:rFonts w:ascii="Times New Roman" w:hAnsi="Times New Roman" w:eastAsia="仿宋_GB2312" w:cs="Times New Roman"/>
          <w:color w:val="000000"/>
          <w:sz w:val="30"/>
          <w:szCs w:val="30"/>
        </w:rPr>
      </w:pPr>
      <w:r>
        <w:rPr>
          <w:rFonts w:ascii="Times New Roman" w:hAnsi="Times New Roman" w:cs="Times New Roman"/>
          <w:color w:val="000000"/>
        </w:rPr>
        <w:br w:type="page"/>
      </w:r>
      <w:r>
        <w:rPr>
          <w:rFonts w:ascii="Times New Roman" w:hAnsi="Times New Roman" w:eastAsia="仿宋_GB2312" w:cs="Times New Roman"/>
          <w:color w:val="000000"/>
          <w:sz w:val="30"/>
          <w:szCs w:val="30"/>
        </w:rPr>
        <w:t>附录一</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kern w:val="2"/>
          <w:sz w:val="30"/>
          <w:szCs w:val="30"/>
          <w:lang w:val="en-US" w:eastAsia="zh-CN" w:bidi="ar-SA"/>
        </w:rPr>
        <w:pict>
          <v:group id="组合 1026" o:spid="_x0000_s1027" style="position:absolute;left:0;margin-left:-41.25pt;margin-top:27.05pt;height:681.4pt;width:470.35pt;rotation:0f;z-index:251658240;" coordorigin="1425,1526" coordsize="9407,13628">
            <o:lock v:ext="edit" position="f" selection="f" grouping="f" rotation="f" cropping="f" text="f" aspectratio="f"/>
            <v:shape id="AutoShape 3" o:spid="_x0000_s1028" type="#_x0000_t32" style="position:absolute;left:6601;top:11865;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28" o:spid="_x0000_s1029" style="position:absolute;left:1425;top:1526;height:13628;width:9407;rotation:0f;" coordorigin="1425,1526" coordsize="9407,13628">
              <o:lock v:ext="edit" position="f" selection="f" grouping="f" rotation="f" cropping="f" text="f" aspectratio="f"/>
              <v:shape id="AutoShape 5" o:spid="_x0000_s1030" type="#_x0000_t32" style="position:absolute;left:9019;top:12580;height:627;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 o:spid="_x0000_s1031" type="#_x0000_t32" style="position:absolute;left:4049;top:12580;height:0;width:498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1" o:spid="_x0000_s1032" style="position:absolute;left:1425;top:1526;height:13628;width:9407;rotation:0f;" coordorigin="1425,1526" coordsize="9407,13628">
                <o:lock v:ext="edit" position="f" selection="f" grouping="f" rotation="f" cropping="f" text="f" aspectratio="f"/>
                <v:rect id="Rectangle 8" o:spid="_x0000_s1033"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组合 1033" o:spid="_x0000_s1034" style="position:absolute;left:1425;top:1526;height:13628;width:9407;rotation:0f;" coordorigin="1425,1526" coordsize="9407,13628">
                  <o:lock v:ext="edit" position="f" selection="f" grouping="f" rotation="f" cropping="f" text="f" aspectratio="f"/>
                  <v:shape id="AutoShape 10" o:spid="_x0000_s1035"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6"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7" type="#_x0000_t32" style="position:absolute;left:4035;top:12580;height:56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13" o:spid="_x0000_s1038"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49;top:14006;height:470;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5" o:spid="_x0000_s1040" type="#_x0000_t32" style="position:absolute;left:6647;top:10960;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40" o:spid="_x0000_s1041" style="position:absolute;left:1425;top:1526;height:11606;width:9131;rotation:0f;" coordorigin="1425,1526" coordsize="9131,11606">
                    <o:lock v:ext="edit" position="f" selection="f" grouping="f" rotation="f" cropping="f" text="f" aspectratio="f"/>
                    <v:shape id="AutoShape 17" o:spid="_x0000_s1042" type="#_x0000_t32" style="position:absolute;left:6600;top:8677;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8" o:spid="_x0000_s1043"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组合 1043" o:spid="_x0000_s1044" style="position:absolute;left:1425;top:2261;height:6416;width:9131;rotation:0f;" coordorigin="1425,2301" coordsize="9131,6416">
                      <o:lock v:ext="edit" position="f" selection="f" grouping="f" rotation="f" cropping="f" text="f" aspectratio="f"/>
                      <v:shape id="AutoShape 20" o:spid="_x0000_s1045" type="#_x0000_t34" style="position:absolute;left:8013;top:4166;height:1285;width:3790;rotation:17694720f;" o:ole="f" fillcolor="#FFFFFF" filled="t" o:preferrelative="t" stroked="t" coordorigin="0,0" coordsize="21600,21600" adj="45">
                        <v:stroke color="#000000" color2="#FFFFFF" miterlimit="2"/>
                        <v:imagedata gain="65536f" blacklevel="0f" gamma="0"/>
                        <o:lock v:ext="edit" position="f" selection="f" grouping="f" rotation="f" cropping="f" text="f" aspectratio="f"/>
                      </v:shape>
                      <v:group id="组合 1045" o:spid="_x0000_s1046" style="position:absolute;left:1425;top:2301;height:6416;width:9131;rotation:0f;" coordorigin="1446,3821" coordsize="9131,6416">
                        <o:lock v:ext="edit" position="f" selection="f" grouping="f" rotation="f" cropping="f" text="f" aspectratio="f"/>
                        <v:shape id="AutoShape 22" o:spid="_x0000_s1047" type="#_x0000_t32" style="position:absolute;left:7549;top:7016;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3" o:spid="_x0000_s1048"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49" type="#_x0000_t32" style="position:absolute;left:3011;top:9967;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5" o:spid="_x0000_s1050" type="#_x0000_t32" style="position:absolute;left:3011;top:6530;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Text Box 26" o:spid="_x0000_s1051"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2" type="#_x0000_t32" style="position:absolute;left:7549;top:9110;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8" o:spid="_x0000_s1053"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4"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30" o:spid="_x0000_s1055" type="#_x0000_t32" style="position:absolute;left:4668;top:5550;height:0;width:99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6" type="#_x0000_t32" style="position:absolute;left:5658;top:4533;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2" o:spid="_x0000_s1057"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8" type="#_x0000_t32" style="position:absolute;left:5686;top:645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9" type="#_x0000_t32" style="position:absolute;left:5658;top:4533;height:0;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35" o:spid="_x0000_s1060"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1"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2"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3"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4" type="#_x0000_t32" style="position:absolute;left:9231;top:4464;flip:x;height:20;width:134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shape id="AutoShape 40" o:spid="_x0000_s1065" type="#_x0000_t32" style="position:absolute;left:3011;top:2229;flip:x;height:6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1" o:spid="_x0000_s1066"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7"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8"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69" type="#_x0000_t32" style="position:absolute;left:9825;top:10105;height:302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color w:val="000000"/>
          <w:sz w:val="30"/>
          <w:szCs w:val="30"/>
        </w:rPr>
        <w:t>基本流程图</w:t>
      </w: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附录二           </w:t>
      </w:r>
    </w:p>
    <w:p>
      <w:pPr>
        <w:widowControl/>
        <w:jc w:val="center"/>
        <w:rPr>
          <w:rFonts w:ascii="Times New Roman" w:hAnsi="Times New Roman" w:eastAsia="黑体" w:cs="Times New Roman"/>
          <w:color w:val="000000"/>
          <w:sz w:val="30"/>
          <w:szCs w:val="30"/>
        </w:rPr>
      </w:pPr>
      <w:r>
        <w:rPr>
          <w:rFonts w:ascii="Times New Roman" w:hAnsi="黑体" w:eastAsia="黑体" w:cs="Times New Roman"/>
          <w:color w:val="000000"/>
          <w:sz w:val="30"/>
          <w:szCs w:val="30"/>
        </w:rPr>
        <w:t>常见问题</w:t>
      </w:r>
    </w:p>
    <w:p>
      <w:pPr>
        <w:widowControl/>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sectPr>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Words>
  <Characters>3113</Characters>
  <Lines>25</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韩美琪/收支处/长春/PBC</cp:lastModifiedBy>
  <cp:lastPrinted>2017-12-26T09:10:00Z</cp:lastPrinted>
  <dcterms:modified xsi:type="dcterms:W3CDTF">2023-09-01T08:24:16Z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