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 xml:space="preserve">编号：57015               </w:t>
      </w:r>
      <w:r>
        <w:rPr>
          <w:rFonts w:ascii="Times New Roman" w:hAnsi="Times New Roman" w:eastAsia="黑体" w:cs="Times New Roman"/>
          <w:color w:val="000000"/>
          <w:kern w:val="2"/>
          <w:sz w:val="48"/>
          <w:szCs w:val="48"/>
          <w:lang w:val="en-US" w:eastAsia="zh-CN" w:bidi="ar-SA"/>
        </w:rPr>
        <w:pict>
          <v:shape id="图片框 1062" o:spid="_x0000_s1026" type="#_x0000_t75" style="height:69.75pt;width:87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52"/>
          <w:szCs w:val="52"/>
        </w:rPr>
      </w:pP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“金融机构外汇与人民币资产不匹配的购汇、结汇审批”</w:t>
      </w: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行政审批服务指南</w: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both"/>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发布机构：国家外汇管理局</w:t>
      </w:r>
      <w:r>
        <w:rPr>
          <w:rFonts w:hint="eastAsia" w:ascii="Times New Roman" w:hAnsi="Times New Roman" w:eastAsia="仿宋_GB2312" w:cs="Times New Roman"/>
          <w:color w:val="000000"/>
          <w:sz w:val="30"/>
          <w:szCs w:val="30"/>
        </w:rPr>
        <w:t>吉林省分局</w:t>
      </w:r>
    </w:p>
    <w:p>
      <w:pPr>
        <w:ind w:right="300"/>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color w:val="000000"/>
          <w:sz w:val="48"/>
          <w:szCs w:val="48"/>
        </w:rPr>
        <w:sectPr>
          <w:footerReference r:id="rId10"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 xml:space="preserve">    </w:t>
      </w:r>
      <w:r>
        <w:rPr>
          <w:rFonts w:ascii="Times New Roman" w:hAnsi="Times New Roman" w:eastAsia="黑体" w:cs="Times New Roman"/>
          <w:color w:val="000000"/>
          <w:sz w:val="30"/>
          <w:szCs w:val="30"/>
        </w:rPr>
        <w:t>一、项目信息</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项目编号：57015；</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审批类别：行政许可。</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二、适用范围</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三、设定依据</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w:t>
      </w:r>
      <w:r>
        <w:rPr>
          <w:rFonts w:ascii="Times New Roman" w:hAnsi="黑体" w:eastAsia="黑体" w:cs="Times New Roman"/>
          <w:color w:val="000000"/>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    （一）办理依据</w:t>
      </w:r>
    </w:p>
    <w:p>
      <w:pPr>
        <w:pStyle w:val="22"/>
        <w:adjustRightInd w:val="0"/>
        <w:snapToGrid w:val="0"/>
        <w:spacing w:line="360" w:lineRule="auto"/>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1.《中华人民共和国外汇管理条例》（国务院令第532号）。</w:t>
      </w:r>
    </w:p>
    <w:p>
      <w:pPr>
        <w:pStyle w:val="22"/>
        <w:adjustRightInd w:val="0"/>
        <w:snapToGrid w:val="0"/>
        <w:spacing w:line="360" w:lineRule="auto"/>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无数量限制。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（五）办事条件</w:t>
      </w:r>
    </w:p>
    <w:p>
      <w:pPr>
        <w:pStyle w:val="22"/>
        <w:adjustRightInd w:val="0"/>
        <w:snapToGrid w:val="0"/>
        <w:spacing w:line="360" w:lineRule="auto"/>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1.非银行金融机构申请本外币转换金额应与其开展的外汇业务规模相匹配。</w:t>
      </w:r>
    </w:p>
    <w:p>
      <w:pPr>
        <w:pStyle w:val="22"/>
        <w:adjustRightInd w:val="0"/>
        <w:snapToGrid w:val="0"/>
        <w:spacing w:line="360" w:lineRule="auto"/>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2.非银行金融机构申请本外币转换原则上每年不得超过一次。</w:t>
      </w:r>
    </w:p>
    <w:p>
      <w:pPr>
        <w:pStyle w:val="22"/>
        <w:adjustRightInd w:val="0"/>
        <w:snapToGrid w:val="0"/>
        <w:spacing w:line="360" w:lineRule="auto"/>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3.禁止性要求：如符合上述条件，不存在不予许可的情况。</w:t>
      </w:r>
    </w:p>
    <w:p>
      <w:pPr>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4"/>
        <w:gridCol w:w="3595"/>
        <w:gridCol w:w="993"/>
        <w:gridCol w:w="567"/>
        <w:gridCol w:w="992"/>
        <w:gridCol w:w="567"/>
        <w:gridCol w:w="1368"/>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rPr>
              <w:t>（包括公司概况，本外币转换的依据以及是否符合有关主管部门的规定，购汇的币种、金额、资金用途等）</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（九）办理方式</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（十）审批时限</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不收费。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（十二）审批结果</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出具相关业务批准文件。</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（十三）结果送达</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000000"/>
          <w:sz w:val="30"/>
          <w:szCs w:val="30"/>
        </w:rPr>
      </w:pPr>
      <w:r>
        <w:rPr>
          <w:rFonts w:ascii="Times New Roman" w:hAnsi="Times New Roman" w:eastAsia="黑体" w:cs="Times New Roman"/>
          <w:color w:val="000000"/>
          <w:sz w:val="30"/>
          <w:szCs w:val="30"/>
        </w:rPr>
        <w:t>（十五）咨询途径、监督和投诉</w:t>
      </w:r>
    </w:p>
    <w:p>
      <w:pPr>
        <w:ind w:firstLine="600"/>
        <w:rPr>
          <w:rFonts w:eastAsia="仿宋_GB2312"/>
          <w:color w:val="000000"/>
          <w:sz w:val="30"/>
          <w:szCs w:val="30"/>
        </w:rPr>
      </w:pPr>
      <w:r>
        <w:rPr>
          <w:rFonts w:eastAsia="仿宋_GB2312"/>
          <w:color w:val="000000"/>
          <w:sz w:val="30"/>
          <w:szCs w:val="30"/>
        </w:rPr>
        <w:t>向国家外汇管理局咨询、监督投诉等可通过国家外汇管理局官方互联网站公众交流栏目进行</w:t>
      </w:r>
      <w:r>
        <w:rPr>
          <w:rFonts w:hint="eastAsia" w:eastAsia="仿宋_GB2312"/>
          <w:color w:val="000000"/>
          <w:sz w:val="30"/>
          <w:szCs w:val="30"/>
        </w:rPr>
        <w:t>，</w:t>
      </w:r>
      <w:r>
        <w:rPr>
          <w:rFonts w:eastAsia="仿宋_GB2312"/>
          <w:color w:val="000000"/>
          <w:sz w:val="30"/>
          <w:szCs w:val="30"/>
        </w:rPr>
        <w:t>网址为</w:t>
      </w:r>
      <w:r>
        <w:fldChar w:fldCharType="begin"/>
      </w:r>
      <w:r>
        <w:instrText xml:space="preserve">HYPERLINK "http://www.safe.gov.cn/" </w:instrText>
      </w:r>
      <w:r>
        <w:fldChar w:fldCharType="separate"/>
      </w:r>
      <w:r>
        <w:rPr>
          <w:rFonts w:eastAsia="仿宋_GB2312"/>
          <w:color w:val="000000"/>
          <w:spacing w:val="-4"/>
          <w:sz w:val="30"/>
          <w:szCs w:val="30"/>
        </w:rPr>
        <w:t>www.safe.gov.cn</w:t>
      </w:r>
      <w:r>
        <w:fldChar w:fldCharType="end"/>
      </w:r>
      <w:r>
        <w:rPr>
          <w:rFonts w:eastAsia="仿宋_GB2312"/>
          <w:color w:val="000000"/>
          <w:sz w:val="30"/>
          <w:szCs w:val="30"/>
        </w:rPr>
        <w:t>。</w:t>
      </w:r>
    </w:p>
    <w:p>
      <w:pPr>
        <w:ind w:firstLine="600"/>
        <w:rPr>
          <w:rFonts w:eastAsia="仿宋_GB2312"/>
          <w:color w:val="000000"/>
          <w:sz w:val="30"/>
          <w:szCs w:val="30"/>
        </w:rPr>
      </w:pPr>
      <w:r>
        <w:rPr>
          <w:rFonts w:eastAsia="仿宋_GB2312"/>
          <w:color w:val="000000"/>
          <w:sz w:val="30"/>
          <w:szCs w:val="30"/>
        </w:rPr>
        <w:t>向外汇局</w:t>
      </w:r>
      <w:r>
        <w:rPr>
          <w:rFonts w:hint="eastAsia" w:eastAsia="仿宋_GB2312"/>
          <w:color w:val="000000"/>
          <w:sz w:val="30"/>
          <w:szCs w:val="30"/>
        </w:rPr>
        <w:t>吉林省分局及各市（州）中心支局</w:t>
      </w:r>
      <w:r>
        <w:rPr>
          <w:rFonts w:eastAsia="仿宋_GB2312"/>
          <w:color w:val="000000"/>
          <w:sz w:val="30"/>
          <w:szCs w:val="30"/>
        </w:rPr>
        <w:t>进行咨询、监督和投诉等可通过</w:t>
      </w:r>
      <w:r>
        <w:rPr>
          <w:rFonts w:hint="eastAsia" w:eastAsia="仿宋_GB2312"/>
          <w:color w:val="000000"/>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5"/>
          <w:rFonts w:eastAsia="仿宋_GB2312"/>
          <w:color w:val="000000"/>
          <w:sz w:val="30"/>
          <w:szCs w:val="30"/>
        </w:rPr>
        <w:t>www.safe.gov.cn/jilin</w:t>
      </w:r>
      <w:r>
        <w:fldChar w:fldCharType="end"/>
      </w:r>
      <w:r>
        <w:rPr>
          <w:rFonts w:hint="eastAsia" w:eastAsia="仿宋_GB2312"/>
          <w:color w:val="000000"/>
          <w:sz w:val="30"/>
          <w:szCs w:val="30"/>
        </w:rPr>
        <w:t>，也可通过国家外汇管理局吉林省分局官方互联网站“咨询反馈——联系我们”栏目中</w:t>
      </w:r>
      <w:r>
        <w:rPr>
          <w:rFonts w:eastAsia="仿宋_GB2312"/>
          <w:color w:val="000000"/>
          <w:sz w:val="30"/>
          <w:szCs w:val="30"/>
        </w:rPr>
        <w:t>公布的电话进行。</w:t>
      </w:r>
    </w:p>
    <w:p>
      <w:pPr>
        <w:ind w:firstLine="600"/>
        <w:rPr>
          <w:rFonts w:eastAsia="仿宋_GB2312"/>
          <w:b/>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六</w:t>
      </w:r>
      <w:r>
        <w:rPr>
          <w:rFonts w:ascii="Times New Roman" w:hAnsi="Times New Roman" w:eastAsia="黑体" w:cs="Times New Roman"/>
          <w:color w:val="000000"/>
          <w:sz w:val="30"/>
          <w:szCs w:val="30"/>
        </w:rPr>
        <w:t>）办公地址和时间</w:t>
      </w:r>
    </w:p>
    <w:p>
      <w:pPr>
        <w:adjustRightInd w:val="0"/>
        <w:snapToGrid w:val="0"/>
        <w:spacing w:line="360" w:lineRule="auto"/>
        <w:ind w:firstLine="600" w:firstLineChars="200"/>
        <w:rPr>
          <w:rFonts w:ascii="仿宋_GB2312" w:hAnsi="Times New Roman" w:eastAsia="仿宋_GB2312"/>
          <w:color w:val="000000"/>
          <w:sz w:val="30"/>
          <w:szCs w:val="30"/>
        </w:rPr>
      </w:pPr>
      <w:r>
        <w:rPr>
          <w:rFonts w:ascii="仿宋_GB2312" w:hAnsi="Times New Roman" w:eastAsia="仿宋_GB2312"/>
          <w:color w:val="000000"/>
          <w:sz w:val="30"/>
          <w:szCs w:val="30"/>
        </w:rPr>
        <w:t>该项行政许可具体由国家外汇管理局分局办理，</w:t>
      </w:r>
      <w:r>
        <w:rPr>
          <w:rFonts w:hint="eastAsia" w:ascii="仿宋_GB2312" w:hAnsi="Times New Roman" w:eastAsia="仿宋_GB2312"/>
          <w:color w:val="000000"/>
          <w:sz w:val="30"/>
          <w:szCs w:val="30"/>
        </w:rPr>
        <w:t>国家外汇管理局吉林省</w:t>
      </w:r>
      <w:r>
        <w:rPr>
          <w:rFonts w:ascii="仿宋_GB2312" w:hAnsi="Times New Roman" w:eastAsia="仿宋_GB2312"/>
          <w:color w:val="000000"/>
          <w:sz w:val="30"/>
          <w:szCs w:val="30"/>
        </w:rPr>
        <w:t>分局办公地址和办公时间见</w:t>
      </w:r>
      <w:r>
        <w:rPr>
          <w:rFonts w:hint="eastAsia" w:ascii="仿宋_GB2312" w:hAnsi="Times New Roman" w:eastAsia="仿宋_GB2312"/>
          <w:color w:val="000000"/>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br w:type="page"/>
      </w:r>
      <w:r>
        <w:rPr>
          <w:rFonts w:ascii="Times New Roman" w:hAnsi="Times New Roman" w:eastAsia="仿宋_GB2312" w:cs="Times New Roman"/>
          <w:color w:val="000000"/>
          <w:sz w:val="30"/>
          <w:szCs w:val="30"/>
        </w:rPr>
        <w:t>附录一</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基本流程图</w:t>
      </w: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kern w:val="2"/>
          <w:sz w:val="30"/>
          <w:szCs w:val="30"/>
          <w:lang w:val="en-US" w:eastAsia="zh-CN" w:bidi="ar-SA"/>
        </w:rPr>
        <w:pict>
          <v:group id="组合 1026" o:spid="_x0000_s1027" style="position:absolute;left:0;margin-left:-9pt;margin-top:10.1pt;height:586.05pt;width:450.7pt;rotation:0f;z-index:251658240;" coordorigin="-93,0" coordsize="9014,11721">
            <o:lock v:ext="edit" position="f" selection="f" grouping="f" rotation="f" cropping="f" text="f" aspectratio="f"/>
            <v:rect id="Rectangle 3"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8"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0"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93;top:0;height:7693;width:9014;rotation:0f;" coordorigin="-93,0" coordsize="9014,7693">
              <o:lock v:ext="edit" position="f" selection="f" grouping="f" rotation="f" cropping="f" text="f" aspectratio="f"/>
              <v:shape id="AutoShape 12"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93;top:0;height:7693;width:9014;rotation:0f;" coordorigin="-93,0" coordsize="9014,7693">
                <o:lock v:ext="edit" position="f" selection="f" grouping="f" rotation="f" cropping="f" text="f" aspectratio="f"/>
                <v:shape id="AutoShape 14"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5"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7"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93;top:0;height:7424;width:4687;rotation:0f;" coordorigin="-93,0" coordsize="4687,7424">
                  <o:lock v:ext="edit" position="f" selection="f" grouping="f" rotation="f" cropping="f" text="f" aspectratio="f"/>
                  <v:shape id="AutoShape 23"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93;top:0;height:3986;width:3737;rotation:0f;" coordorigin="-93,0" coordsize="3737,3986">
                    <o:lock v:ext="edit" position="f" selection="f" grouping="f" rotation="f" cropping="f" text="f" aspectratio="f"/>
                    <v:shape id="AutoShape 26"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52" type="#_x0000_t32" style="position:absolute;left:2890;top:2961;height:6;width:75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8" o:spid="_x0000_s1053"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1"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3"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7605;top:1875;flip:x y;height:11;width:131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left"/>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b/>
      </w:r>
    </w:p>
    <w:p>
      <w:pPr>
        <w:widowControl/>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br w:type="page"/>
      </w:r>
    </w:p>
    <w:p>
      <w:pPr>
        <w:widowControl/>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附录二</w:t>
      </w:r>
    </w:p>
    <w:p>
      <w:pPr>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常见问题</w:t>
      </w:r>
    </w:p>
    <w:p>
      <w:pPr>
        <w:pStyle w:val="22"/>
        <w:ind w:firstLine="600"/>
        <w:rPr>
          <w:rFonts w:ascii="Times New Roman" w:hAnsi="Times New Roman" w:eastAsia="仿宋_GB2312"/>
          <w:color w:val="000000"/>
          <w:kern w:val="0"/>
          <w:sz w:val="30"/>
          <w:szCs w:val="30"/>
        </w:rPr>
      </w:pPr>
      <w:r>
        <w:rPr>
          <w:rFonts w:ascii="Times New Roman" w:hAnsi="Times New Roman" w:eastAsia="仿宋_GB2312"/>
          <w:bCs/>
          <w:color w:val="000000"/>
          <w:kern w:val="0"/>
          <w:sz w:val="30"/>
          <w:szCs w:val="30"/>
        </w:rPr>
        <w:t>问：非银行金融机构外汇资本金结汇是否需外汇局核准</w:t>
      </w:r>
      <w:r>
        <w:rPr>
          <w:rFonts w:ascii="Times New Roman" w:hAnsi="Times New Roman" w:eastAsia="仿宋_GB2312"/>
          <w:color w:val="000000"/>
          <w:kern w:val="0"/>
          <w:sz w:val="30"/>
          <w:szCs w:val="30"/>
        </w:rPr>
        <w:t>？</w:t>
      </w:r>
    </w:p>
    <w:p>
      <w:pPr>
        <w:ind w:right="300" w:firstLine="600" w:firstLineChars="200"/>
        <w:rPr>
          <w:rFonts w:ascii="Times New Roman" w:hAnsi="Times New Roman" w:cs="Times New Roman"/>
          <w:color w:val="000000"/>
        </w:rPr>
      </w:pPr>
      <w:r>
        <w:rPr>
          <w:rFonts w:ascii="Times New Roman" w:hAnsi="Times New Roman" w:eastAsia="仿宋_GB2312" w:cs="Times New Roman"/>
          <w:color w:val="000000"/>
          <w:kern w:val="0"/>
          <w:sz w:val="30"/>
          <w:szCs w:val="30"/>
        </w:rPr>
        <w:t>答：</w:t>
      </w:r>
      <w:r>
        <w:rPr>
          <w:rFonts w:ascii="Times New Roman" w:hAnsi="Times New Roman" w:eastAsia="仿宋_GB2312" w:cs="Times New Roman"/>
          <w:bCs/>
          <w:color w:val="000000"/>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color w:val="000000"/>
        </w:rPr>
      </w:pPr>
      <w:bookmarkStart w:id="0" w:name="_GoBack"/>
    </w:p>
    <w:bookmarkEnd w:id="0"/>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uiPriority w:val="0"/>
    <w:rPr>
      <w:rFonts w:ascii="宋体"/>
      <w:sz w:val="18"/>
      <w:szCs w:val="18"/>
    </w:rPr>
  </w:style>
  <w:style w:type="paragraph" w:styleId="6">
    <w:name w:val="annotation text"/>
    <w:basedOn w:val="1"/>
    <w:link w:val="29"/>
    <w:unhideWhenUsed/>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uiPriority w:val="99"/>
    <w:rPr>
      <w:rFonts w:ascii="宋体" w:eastAsia="宋体"/>
      <w:sz w:val="18"/>
      <w:szCs w:val="18"/>
    </w:rPr>
  </w:style>
  <w:style w:type="character" w:customStyle="1" w:styleId="39">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theme" Target="theme/theme1.xml"/><Relationship Id="rId12" Type="http://schemas.openxmlformats.org/officeDocument/2006/relationships/image" Target="media/image1.jpe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Words>
  <Characters>1532</Characters>
  <Lines>12</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pc</cp:lastModifiedBy>
  <cp:lastPrinted>2017-11-24T00:22:00Z</cp:lastPrinted>
  <dcterms:modified xsi:type="dcterms:W3CDTF">2021-04-23T04:22:50Z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