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63" o:spid="_x0000_s1026" type="#_x0000_t75" style="height:70.15pt;width:86.9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both"/>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四、境外上市公司境内股东持股登记及变更登记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.《国家外汇管理局关于境外上市外汇管理有关问题的通知》（汇发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《H股公司境内未上市股份申请“全流通”业务指引》（证监会公告〔2019〕22号）；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4.《国家外汇管理局关于全面推开H股“全流通”改革所涉及外汇管理工作的批复》（汇复〔2020〕1号）。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申请人为持有境外上市公司股份的境内股东，应在拟增持或减持前20个工作日内，到境内股东所在地外汇局办理境外持股登记。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w:t>
      </w:r>
      <w:bookmarkStart w:id="5" w:name="_GoBack"/>
      <w:bookmarkEnd w:id="5"/>
      <w:r>
        <w:rPr>
          <w:rFonts w:ascii="Times New Roman" w:hAnsi="Times New Roman" w:eastAsia="仿宋_GB2312" w:cs="Times New Roman"/>
          <w:sz w:val="30"/>
          <w:szCs w:val="30"/>
        </w:rPr>
        <w:t>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1、境外上市公司境内股东持股登记申请材料</w:t>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1275"/>
        <w:gridCol w:w="457"/>
        <w:gridCol w:w="960"/>
        <w:gridCol w:w="457"/>
        <w:gridCol w:w="1528"/>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境内股东</w:t>
            </w:r>
            <w:r>
              <w:rPr>
                <w:rFonts w:hint="eastAsia" w:ascii="Times New Roman" w:hAnsi="Times New Roman" w:eastAsia="仿宋_GB2312" w:cs="Times New Roman"/>
                <w:kern w:val="0"/>
                <w:sz w:val="24"/>
                <w:szCs w:val="24"/>
              </w:rPr>
              <w:t>（含参与H股“全流通”企业的境内股东）</w:t>
            </w: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（持股基本情况、变更事项等）</w:t>
            </w:r>
            <w:r>
              <w:rPr>
                <w:rFonts w:ascii="Times New Roman" w:hAnsi="Times New Roman" w:eastAsia="仿宋_GB2312" w:cs="Times New Roman"/>
                <w:sz w:val="24"/>
                <w:szCs w:val="24"/>
              </w:rPr>
              <w:t>，并附《境外持股登记表》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关于增持或减持事项的董事会或股东大会决议（如有）</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相关部门的批准文件（需经财政部门、国有资产管理部门等相关部门批准的提供）</w:t>
            </w:r>
            <w:r>
              <w:rPr>
                <w:rFonts w:hint="eastAsia" w:ascii="Times New Roman" w:hAnsi="Times New Roman" w:eastAsia="仿宋_GB2312" w:cs="Times New Roman"/>
                <w:sz w:val="24"/>
                <w:szCs w:val="24"/>
              </w:rPr>
              <w:t>。参与H股“全流通”的境内股东，应提供证监会批准参加H股“全流通”业务的批复文件，以及关于境内股东原非境外上市股份转境外上市股份的相关证明材料。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2、境外上市公司境内股东持股变更登记申请材料</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1275"/>
        <w:gridCol w:w="457"/>
        <w:gridCol w:w="960"/>
        <w:gridCol w:w="457"/>
        <w:gridCol w:w="1387"/>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hint="eastAsia" w:ascii="Times New Roman" w:hAnsi="Times New Roman" w:eastAsia="仿宋_GB2312" w:cs="Times New Roman"/>
                <w:kern w:val="0"/>
                <w:sz w:val="24"/>
                <w:szCs w:val="24"/>
              </w:rPr>
              <w:t>，并附《境外持股登记表》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结果送达</w:t>
      </w:r>
    </w:p>
    <w:p>
      <w:pPr>
        <w:adjustRightInd w:val="0"/>
        <w:snapToGrid w:val="0"/>
        <w:spacing w:line="360" w:lineRule="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sz w:val="30"/>
          <w:szCs w:val="30"/>
        </w:rPr>
      </w:pPr>
      <w:bookmarkStart w:id="0" w:name="_Toc485285483"/>
      <w:bookmarkStart w:id="1" w:name="_Toc428779974"/>
      <w:bookmarkStart w:id="2" w:name="_Toc487492186"/>
      <w:bookmarkStart w:id="3" w:name="_Toc492328428"/>
      <w:bookmarkStart w:id="4" w:name="_Toc495992545"/>
      <w:r>
        <w:rPr>
          <w:rFonts w:ascii="Times New Roman" w:hAnsi="Times New Roman" w:eastAsia="黑体" w:cs="Times New Roman"/>
          <w:sz w:val="30"/>
          <w:szCs w:val="30"/>
        </w:rPr>
        <w:t>（十五）咨询途径、监督和投诉</w:t>
      </w:r>
    </w:p>
    <w:p>
      <w:pPr>
        <w:ind w:firstLine="600"/>
        <w:rPr>
          <w:rFonts w:eastAsia="仿宋_GB2312"/>
          <w:sz w:val="30"/>
          <w:szCs w:val="30"/>
        </w:rPr>
      </w:pPr>
      <w:r>
        <w:rPr>
          <w:rFonts w:eastAsia="仿宋_GB2312"/>
          <w:sz w:val="30"/>
          <w:szCs w:val="30"/>
        </w:rPr>
        <w:t>向国家外汇管理局咨询、监督投诉等可通过国家外汇管理局官方互联网站公众交流栏目进行</w:t>
      </w:r>
      <w:r>
        <w:rPr>
          <w:rFonts w:hint="eastAsia" w:eastAsia="仿宋_GB2312"/>
          <w:sz w:val="30"/>
          <w:szCs w:val="30"/>
        </w:rPr>
        <w:t>，</w:t>
      </w:r>
      <w:r>
        <w:rPr>
          <w:rFonts w:eastAsia="仿宋_GB2312"/>
          <w:sz w:val="30"/>
          <w:szCs w:val="30"/>
        </w:rPr>
        <w:t>网址为</w:t>
      </w:r>
      <w:r>
        <w:fldChar w:fldCharType="begin"/>
      </w:r>
      <w:r>
        <w:instrText xml:space="preserve">HYPERLINK "http://www.safe.gov.cn/" </w:instrText>
      </w:r>
      <w:r>
        <w:fldChar w:fldCharType="separate"/>
      </w:r>
      <w:r>
        <w:rPr>
          <w:rFonts w:eastAsia="仿宋_GB2312"/>
          <w:spacing w:val="-4"/>
          <w:sz w:val="30"/>
          <w:szCs w:val="30"/>
        </w:rPr>
        <w:t>www.safe.gov.cn</w:t>
      </w:r>
      <w:r>
        <w:fldChar w:fldCharType="end"/>
      </w:r>
      <w:r>
        <w:rPr>
          <w:rFonts w:eastAsia="仿宋_GB2312"/>
          <w:sz w:val="30"/>
          <w:szCs w:val="30"/>
        </w:rPr>
        <w:t>。</w:t>
      </w:r>
    </w:p>
    <w:p>
      <w:pPr>
        <w:ind w:firstLine="600"/>
        <w:rPr>
          <w:rFonts w:eastAsia="仿宋_GB2312"/>
          <w:sz w:val="30"/>
          <w:szCs w:val="30"/>
        </w:rPr>
      </w:pPr>
      <w:r>
        <w:rPr>
          <w:rFonts w:eastAsia="仿宋_GB2312"/>
          <w:sz w:val="30"/>
          <w:szCs w:val="30"/>
        </w:rPr>
        <w:t>向外汇局</w:t>
      </w:r>
      <w:r>
        <w:rPr>
          <w:rFonts w:hint="eastAsia" w:eastAsia="仿宋_GB2312"/>
          <w:sz w:val="30"/>
          <w:szCs w:val="30"/>
        </w:rPr>
        <w:t>吉林省分局及各市（州）中心支局</w:t>
      </w:r>
      <w:r>
        <w:rPr>
          <w:rFonts w:eastAsia="仿宋_GB2312"/>
          <w:sz w:val="30"/>
          <w:szCs w:val="30"/>
        </w:rPr>
        <w:t>进行咨询、监督和投诉等可通过</w:t>
      </w:r>
      <w:r>
        <w:rPr>
          <w:rFonts w:hint="eastAsia" w:eastAsia="仿宋_GB2312"/>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5"/>
          <w:rFonts w:eastAsia="仿宋_GB2312"/>
          <w:color w:val="auto"/>
          <w:sz w:val="30"/>
          <w:szCs w:val="30"/>
        </w:rPr>
        <w:t>www.safe.gov.cn/jilin</w:t>
      </w:r>
      <w:r>
        <w:fldChar w:fldCharType="end"/>
      </w:r>
      <w:r>
        <w:rPr>
          <w:rFonts w:hint="eastAsia" w:eastAsia="仿宋_GB2312"/>
          <w:sz w:val="30"/>
          <w:szCs w:val="30"/>
        </w:rPr>
        <w:t>。也可通过国家外汇管理局吉林省分局官方互联网站“咨询反馈——联系我们”栏目中</w:t>
      </w:r>
      <w:r>
        <w:rPr>
          <w:rFonts w:eastAsia="仿宋_GB2312"/>
          <w:sz w:val="30"/>
          <w:szCs w:val="30"/>
        </w:rPr>
        <w:t>公布的电话进行。</w:t>
      </w:r>
    </w:p>
    <w:p>
      <w:pPr>
        <w:ind w:firstLine="600"/>
        <w:rPr>
          <w:rFonts w:eastAsia="仿宋_GB2312"/>
          <w:b/>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rPr>
        <w:t>六</w:t>
      </w:r>
      <w:r>
        <w:rPr>
          <w:rFonts w:ascii="Times New Roman" w:hAnsi="Times New Roman" w:eastAsia="黑体" w:cs="Times New Roman"/>
          <w:sz w:val="30"/>
          <w:szCs w:val="30"/>
        </w:rPr>
        <w:t>）办公地址和时间</w:t>
      </w:r>
    </w:p>
    <w:p>
      <w:pPr>
        <w:ind w:firstLine="600" w:firstLineChars="200"/>
        <w:rPr>
          <w:rFonts w:eastAsia="仿宋_GB2312"/>
          <w:sz w:val="30"/>
          <w:szCs w:val="30"/>
        </w:rPr>
      </w:pPr>
      <w:r>
        <w:rPr>
          <w:rFonts w:eastAsia="仿宋_GB2312"/>
          <w:sz w:val="30"/>
          <w:szCs w:val="30"/>
        </w:rPr>
        <w:t>该项行政许可具体由国家外汇管理局分支局办理，</w:t>
      </w:r>
      <w:r>
        <w:rPr>
          <w:rFonts w:hint="eastAsia" w:eastAsia="仿宋_GB2312"/>
          <w:sz w:val="30"/>
          <w:szCs w:val="30"/>
        </w:rPr>
        <w:t>国家外汇管理局吉林省各市（州）中心支局的</w:t>
      </w:r>
      <w:r>
        <w:rPr>
          <w:rFonts w:eastAsia="仿宋_GB2312"/>
          <w:sz w:val="30"/>
          <w:szCs w:val="30"/>
        </w:rPr>
        <w:t>办公地址和办公时间见</w:t>
      </w:r>
      <w:r>
        <w:rPr>
          <w:rFonts w:hint="eastAsia" w:eastAsia="仿宋_GB2312"/>
          <w:sz w:val="30"/>
          <w:szCs w:val="30"/>
        </w:rPr>
        <w:t>国家外汇管理局吉林省分局官方互联网站“咨询反馈——联系我们”栏目。</w:t>
      </w:r>
    </w:p>
    <w:p>
      <w:pPr>
        <w:rPr>
          <w:rFonts w:ascii="Times New Roman" w:hAnsi="Times New Roman" w:cs="Times New Roman"/>
        </w:rPr>
      </w:pPr>
    </w:p>
    <w:p>
      <w:pPr>
        <w:ind w:right="300"/>
        <w:rPr>
          <w:rFonts w:ascii="仿宋_GB2312" w:eastAsia="仿宋_GB2312"/>
          <w:sz w:val="30"/>
          <w:szCs w:val="30"/>
        </w:rPr>
      </w:pPr>
      <w:r>
        <w:rPr>
          <w:rFonts w:ascii="Times New Roman" w:hAnsi="Times New Roman" w:cs="Times New Roman"/>
        </w:rPr>
        <w:br w:type="page"/>
      </w: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黑体" w:hAnsi="Calibri" w:eastAsia="黑体" w:cs="黑体"/>
          <w:kern w:val="2"/>
          <w:sz w:val="30"/>
          <w:szCs w:val="30"/>
          <w:lang w:val="en-US" w:eastAsia="zh-CN" w:bidi="ar-SA"/>
        </w:rPr>
        <w:pict>
          <v:group id="组合 1026" o:spid="_x0000_s1027" style="position:absolute;left:0;margin-left:-21pt;margin-top:14.85pt;height:586.05pt;width:455.05pt;rotation:0f;z-index:251662336;"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rPr>
          <w:rFonts w:ascii="Times New Roman" w:hAnsi="Times New Roman" w:eastAsia="仿宋_GB2312" w:cs="Times New Roman"/>
          <w:sz w:val="30"/>
          <w:szCs w:val="30"/>
        </w:rPr>
      </w:pPr>
      <w:r>
        <w:rPr>
          <w:rFonts w:ascii="仿宋_GB2312" w:eastAsia="仿宋_GB2312"/>
          <w:sz w:val="30"/>
          <w:szCs w:val="30"/>
        </w:rPr>
        <w:br w:type="page"/>
      </w:r>
      <w:r>
        <w:rPr>
          <w:rFonts w:ascii="Calibri" w:hAnsi="Calibri" w:eastAsia="宋体" w:cs="Times New Roman"/>
          <w:kern w:val="2"/>
          <w:sz w:val="21"/>
          <w:szCs w:val="22"/>
          <w:lang w:val="en-US" w:eastAsia="zh-CN" w:bidi="ar-SA"/>
        </w:rPr>
        <w:pict>
          <v:roundrect id="AutoShape 667" o:spid="_x0000_s1061" style="position:absolute;left:0;margin-left:202.4pt;margin-top:277.65pt;height:71.35pt;width:180.85pt;rotation:0f;z-index:251661312;"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p>
    <w:p>
      <w:pPr>
        <w:tabs>
          <w:tab w:val="left" w:pos="8306"/>
        </w:tabs>
        <w:ind w:right="84"/>
        <w:jc w:val="center"/>
        <w:rPr>
          <w:rFonts w:ascii="Times New Roman" w:hAnsi="Times New Roman" w:eastAsia="黑体" w:cs="Times New Roman"/>
          <w:sz w:val="30"/>
          <w:szCs w:val="30"/>
        </w:rPr>
      </w:pPr>
      <w:r>
        <w:rPr>
          <w:rFonts w:ascii="Times New Roman" w:hAnsi="Times New Roman" w:eastAsia="黑体" w:cs="Times New Roman"/>
          <w:sz w:val="30"/>
          <w:szCs w:val="30"/>
        </w:rPr>
        <w:t>境外持股登记表</w:t>
      </w:r>
      <w:bookmarkEnd w:id="0"/>
      <w:bookmarkEnd w:id="1"/>
      <w:bookmarkEnd w:id="2"/>
      <w:bookmarkEnd w:id="3"/>
      <w:bookmarkEnd w:id="4"/>
      <w:r>
        <w:rPr>
          <w:rFonts w:ascii="Times New Roman" w:hAnsi="Times New Roman" w:eastAsia="黑体" w:cs="Times New Roman"/>
          <w:sz w:val="30"/>
          <w:szCs w:val="30"/>
        </w:rPr>
        <w:t>（示范文本）</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三</w:t>
      </w:r>
    </w:p>
    <w:p>
      <w:pPr>
        <w:jc w:val="center"/>
        <w:rPr>
          <w:rFonts w:ascii="Times New Roman" w:hAnsi="Times New Roman" w:eastAsia="黑体" w:cs="Times New Roman"/>
          <w:sz w:val="30"/>
          <w:szCs w:val="30"/>
          <w:highlight w:val="yellow"/>
        </w:rPr>
      </w:pPr>
      <w:r>
        <w:rPr>
          <w:rFonts w:ascii="Times New Roman" w:hAnsi="Times New Roman" w:eastAsia="黑体" w:cs="Times New Roman"/>
          <w:sz w:val="30"/>
          <w:szCs w:val="30"/>
        </w:rPr>
        <w:t>境外持股登记表（错误示例）</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rect id="矩形 192" o:spid="_x0000_s1062" style="position:absolute;left:0;margin-left:-66.15pt;margin-top:21.1pt;height:91.5pt;width:59.6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此处填写金额不能为空</w:t>
                        </w:r>
                      </w:p>
                    </w:txbxContent>
                  </v:textbox>
                </v:rect>
              </w:pict>
            </w:r>
            <w:r>
              <w:rPr>
                <w:rFonts w:ascii="Times New Roman" w:hAnsi="Times New Roman" w:eastAsia="华文楷体" w:cs="Times New Roman"/>
                <w:kern w:val="2"/>
                <w:sz w:val="24"/>
                <w:szCs w:val="22"/>
                <w:lang w:val="en-US" w:eastAsia="zh-CN" w:bidi="ar-SA"/>
              </w:rPr>
              <w:pict>
                <v:shape id="直接箭头连接符 191" o:spid="_x0000_s1063" type="#_x0000_t32" style="position:absolute;left:0;flip:x;margin-left:-7.1pt;margin-top:70.1pt;height:4.95pt;width:63.95pt;rotation:0f;z-index:251660288;"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shape id="椭圆 190" o:spid="_x0000_s1064" type="#_x0000_t3" style="position:absolute;left:0;margin-left:17.25pt;margin-top:26.9pt;height:36pt;width:62.25pt;rotation:0f;z-index:251658240;"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2"/>
        <w:ind w:firstLine="600"/>
        <w:rPr>
          <w:rFonts w:ascii="Times New Roman" w:hAnsi="Times New Roman" w:eastAsia="仿宋_GB2312"/>
          <w:kern w:val="0"/>
          <w:sz w:val="30"/>
          <w:szCs w:val="30"/>
        </w:rPr>
      </w:pPr>
      <w:r>
        <w:rPr>
          <w:rFonts w:ascii="Times New Roman" w:hAnsi="Times New Roman" w:eastAsia="仿宋_GB2312"/>
          <w:kern w:val="0"/>
          <w:sz w:val="30"/>
          <w:szCs w:val="30"/>
        </w:rPr>
        <w:t xml:space="preserve">问：境外上市公司的境内股东针对其增持、减持或转让境外上市公司股份等业务，在境内银行开立什么专户，办理相关业务的资金汇兑与划转？                 </w:t>
      </w:r>
    </w:p>
    <w:p>
      <w:pPr>
        <w:pStyle w:val="22"/>
        <w:ind w:firstLine="600"/>
        <w:rPr>
          <w:rFonts w:ascii="Times New Roman" w:hAnsi="Times New Roman" w:eastAsia="仿宋_GB2312"/>
          <w:kern w:val="0"/>
          <w:sz w:val="30"/>
          <w:szCs w:val="30"/>
        </w:rPr>
      </w:pPr>
      <w:r>
        <w:rPr>
          <w:rFonts w:ascii="Times New Roman" w:hAnsi="Times New Roman" w:eastAsia="仿宋_GB2312"/>
          <w:kern w:val="0"/>
          <w:sz w:val="30"/>
          <w:szCs w:val="30"/>
        </w:rPr>
        <w:t>答：境外上市公司的境内股东应当凭境外持股业务登记凭证，针对其增持、减持或转让境外上市公司股份等业务，在境内银行开立资本项目—居民境外证券与衍生品账户（账户代码为2403），办理相关业务的资金汇兑与划转。</w:t>
      </w:r>
    </w:p>
    <w:p>
      <w:pPr>
        <w:rPr>
          <w:rFonts w:ascii="Times New Roman" w:hAnsi="Times New Roman" w:eastAsia="仿宋_GB2312" w:cs="Times New Roman"/>
          <w:kern w:val="0"/>
          <w:sz w:val="30"/>
          <w:szCs w:val="30"/>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adjustRightInd w:val="0"/>
        <w:snapToGrid w:val="0"/>
        <w:spacing w:line="360" w:lineRule="auto"/>
        <w:rPr>
          <w:rFonts w:ascii="Times New Roman" w:hAnsi="Times New Roman" w:eastAsia="华文仿宋" w:cs="Times New Roman"/>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10" w:usb3="00000000" w:csb0="0004009F" w:csb1="00000000"/>
  </w:font>
  <w:font w:name="华文仿宋">
    <w:altName w:val="仿宋"/>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5358322">
    <w:nsid w:val="60486972"/>
    <w:multiLevelType w:val="singleLevel"/>
    <w:tmpl w:val="60486972"/>
    <w:lvl w:ilvl="0" w:tentative="1">
      <w:start w:val="13"/>
      <w:numFmt w:val="chineseCounting"/>
      <w:suff w:val="nothing"/>
      <w:lvlText w:val="（%1）"/>
      <w:lvlJc w:val="left"/>
    </w:lvl>
  </w:abstractNum>
  <w:num w:numId="1">
    <w:abstractNumId w:val="16153583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qFormat/>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717</Words>
  <Characters>4088</Characters>
  <Lines>34</Lines>
  <Paragraphs>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2020-08-25T01:23:00Z</dcterms:created>
  <dc:creator>裴建君2</dc:creator>
  <cp:lastModifiedBy>pc</cp:lastModifiedBy>
  <cp:lastPrinted>2017-11-24T00:22:00Z</cp:lastPrinted>
  <dcterms:modified xsi:type="dcterms:W3CDTF">2021-04-23T00:39:30Z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