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编号：57004</w:t>
      </w:r>
      <w:r>
        <w:rPr>
          <w:rFonts w:hint="eastAsia" w:ascii="Times New Roman" w:hAnsi="Times New Roman" w:eastAsia="黑体" w:cs="Times New Roman"/>
          <w:color w:val="auto"/>
          <w:sz w:val="52"/>
          <w:szCs w:val="52"/>
        </w:rPr>
        <w:t xml:space="preserve">               </w:t>
      </w:r>
      <w:r>
        <w:rPr>
          <w:rFonts w:ascii="Times New Roman" w:hAnsi="Times New Roman" w:eastAsia="黑体" w:cs="Times New Roman"/>
          <w:color w:val="auto"/>
          <w:kern w:val="2"/>
          <w:sz w:val="52"/>
          <w:szCs w:val="52"/>
          <w:lang w:val="en-US" w:eastAsia="zh-CN" w:bidi="ar-SA"/>
        </w:rPr>
        <w:pict>
          <v:shape id="图片框 1025" o:spid="_x0000_s1026" type="#_x0000_t75" style="height:69.75pt;width:8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“跨境从事有价证券、衍生产品发行、交易外汇登记”行政审批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 xml:space="preserve">    </w:t>
      </w:r>
      <w:r>
        <w:rPr>
          <w:rFonts w:ascii="Times New Roman" w:hAnsi="Times New Roman" w:eastAsia="黑体" w:cs="Times New Roman"/>
          <w:color w:val="auto"/>
          <w:sz w:val="30"/>
          <w:szCs w:val="30"/>
        </w:rPr>
        <w:t>一、项目信息</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项目编号：57004；</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审查类型：前审后批。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w:t>
      </w:r>
      <w:r>
        <w:rPr>
          <w:rFonts w:hint="eastAsia" w:ascii="Times New Roman" w:hAnsi="Times New Roman" w:eastAsia="黑体" w:cs="Times New Roman"/>
          <w:color w:val="auto"/>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3.《存托凭证跨境资金管理办法（试行）》（中国人民银行国家外汇管理局公告</w:t>
      </w:r>
      <w:r>
        <w:rPr>
          <w:rFonts w:ascii="Times New Roman" w:hAnsi="宋体" w:cs="Times New Roman"/>
          <w:color w:val="auto"/>
          <w:sz w:val="30"/>
          <w:szCs w:val="30"/>
        </w:rPr>
        <w:t>﹝</w:t>
      </w:r>
      <w:r>
        <w:rPr>
          <w:rFonts w:ascii="Times New Roman" w:hAnsi="Times New Roman" w:eastAsia="仿宋_GB2312" w:cs="Times New Roman"/>
          <w:color w:val="auto"/>
          <w:sz w:val="30"/>
          <w:szCs w:val="30"/>
        </w:rPr>
        <w:t>2019</w:t>
      </w:r>
      <w:r>
        <w:rPr>
          <w:rFonts w:ascii="Times New Roman" w:hAnsi="宋体" w:cs="Times New Roman"/>
          <w:color w:val="auto"/>
          <w:sz w:val="30"/>
          <w:szCs w:val="30"/>
        </w:rPr>
        <w:t>﹞</w:t>
      </w:r>
      <w:r>
        <w:rPr>
          <w:rFonts w:ascii="Times New Roman" w:hAnsi="仿宋_GB2312" w:eastAsia="仿宋_GB2312" w:cs="Times New Roman"/>
          <w:color w:val="auto"/>
          <w:sz w:val="30"/>
          <w:szCs w:val="30"/>
        </w:rPr>
        <w:t>第</w:t>
      </w:r>
      <w:r>
        <w:rPr>
          <w:rFonts w:ascii="Times New Roman" w:hAnsi="Times New Roman" w:eastAsia="仿宋_GB2312" w:cs="Times New Roman"/>
          <w:color w:val="auto"/>
          <w:sz w:val="30"/>
          <w:szCs w:val="30"/>
        </w:rPr>
        <w:t>8号）。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国家外汇管理局吉林省分局</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国家外汇管理局吉林省分局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118"/>
        <w:gridCol w:w="992"/>
        <w:gridCol w:w="567"/>
        <w:gridCol w:w="851"/>
        <w:gridCol w:w="709"/>
        <w:gridCol w:w="1701"/>
      </w:tblGrid>
      <w:tr>
        <w:tc>
          <w:tcPr>
            <w:tcW w:w="534"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118"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709"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contextualSpacing/>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118" w:type="dxa"/>
            <w:vAlign w:val="center"/>
          </w:tcPr>
          <w:p>
            <w:pPr>
              <w:contextualSpacing/>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书面申请</w:t>
            </w:r>
            <w:r>
              <w:rPr>
                <w:rFonts w:ascii="Times New Roman" w:hAnsi="Times New Roman" w:eastAsia="仿宋_GB2312" w:cs="Times New Roman"/>
                <w:color w:val="auto"/>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709" w:type="dxa"/>
            <w:vAlign w:val="center"/>
          </w:tcPr>
          <w:p>
            <w:pPr>
              <w:contextualSpacing/>
              <w:jc w:val="left"/>
              <w:rPr>
                <w:rFonts w:ascii="Times New Roman" w:hAnsi="Times New Roman" w:eastAsia="仿宋_GB2312" w:cs="Times New Roman"/>
                <w:color w:val="auto"/>
                <w:sz w:val="24"/>
                <w:szCs w:val="24"/>
              </w:rPr>
            </w:pPr>
          </w:p>
        </w:tc>
        <w:tc>
          <w:tcPr>
            <w:tcW w:w="1701" w:type="dxa"/>
            <w:vAlign w:val="center"/>
          </w:tcPr>
          <w:p>
            <w:pPr>
              <w:contextualSpacing/>
              <w:jc w:val="left"/>
              <w:rPr>
                <w:rFonts w:ascii="Times New Roman" w:hAnsi="Times New Roman" w:eastAsia="仿宋_GB2312" w:cs="Times New Roman"/>
                <w:color w:val="auto"/>
                <w:sz w:val="24"/>
                <w:szCs w:val="24"/>
              </w:rPr>
            </w:pPr>
          </w:p>
        </w:tc>
      </w:tr>
      <w:t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118"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709" w:type="dxa"/>
            <w:vAlign w:val="center"/>
          </w:tcPr>
          <w:p>
            <w:pPr>
              <w:contextualSpacing/>
              <w:jc w:val="left"/>
              <w:rPr>
                <w:rFonts w:ascii="Times New Roman" w:hAnsi="Times New Roman" w:eastAsia="仿宋_GB2312" w:cs="Times New Roman"/>
                <w:color w:val="auto"/>
                <w:sz w:val="24"/>
                <w:szCs w:val="24"/>
              </w:rPr>
            </w:pPr>
          </w:p>
        </w:tc>
        <w:tc>
          <w:tcPr>
            <w:tcW w:w="1701" w:type="dxa"/>
            <w:vAlign w:val="top"/>
          </w:tcPr>
          <w:p>
            <w:pPr>
              <w:contextualSpacing/>
              <w:jc w:val="left"/>
              <w:rPr>
                <w:rFonts w:ascii="Times New Roman" w:hAnsi="Times New Roman" w:eastAsia="仿宋_GB2312" w:cs="Times New Roman"/>
                <w:color w:val="auto"/>
                <w:sz w:val="24"/>
                <w:szCs w:val="24"/>
              </w:rPr>
            </w:pPr>
          </w:p>
        </w:tc>
      </w:tr>
      <w:tr>
        <w:tc>
          <w:tcPr>
            <w:tcW w:w="534" w:type="dxa"/>
            <w:vAlign w:val="center"/>
          </w:tcPr>
          <w:p>
            <w:pPr>
              <w:contextualSpacing/>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118"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加盖公章的复印件</w:t>
            </w:r>
          </w:p>
        </w:tc>
        <w:tc>
          <w:tcPr>
            <w:tcW w:w="567"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contextualSpacing/>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709" w:type="dxa"/>
            <w:vAlign w:val="center"/>
          </w:tcPr>
          <w:p>
            <w:pPr>
              <w:contextualSpacing/>
              <w:jc w:val="left"/>
              <w:rPr>
                <w:rFonts w:ascii="Times New Roman" w:hAnsi="Times New Roman" w:eastAsia="仿宋_GB2312" w:cs="Times New Roman"/>
                <w:color w:val="auto"/>
                <w:sz w:val="24"/>
                <w:szCs w:val="24"/>
              </w:rPr>
            </w:pPr>
          </w:p>
        </w:tc>
        <w:tc>
          <w:tcPr>
            <w:tcW w:w="1701" w:type="dxa"/>
            <w:vAlign w:val="top"/>
          </w:tcPr>
          <w:p>
            <w:pPr>
              <w:contextualSpacing/>
              <w:jc w:val="left"/>
              <w:rPr>
                <w:rFonts w:ascii="Times New Roman" w:hAnsi="Times New Roman" w:eastAsia="仿宋_GB2312" w:cs="Times New Roman"/>
                <w:color w:val="auto"/>
                <w:sz w:val="24"/>
                <w:szCs w:val="24"/>
              </w:rPr>
            </w:pPr>
          </w:p>
        </w:tc>
      </w:tr>
    </w:tbl>
    <w:p>
      <w:pPr>
        <w:adjustRightInd w:val="0"/>
        <w:snapToGrid w:val="0"/>
        <w:spacing w:line="360" w:lineRule="auto"/>
        <w:ind w:firstLine="600" w:firstLineChars="200"/>
        <w:rPr>
          <w:rFonts w:ascii="Times New Roman" w:hAnsi="Times New Roman" w:eastAsia="黑体" w:cs="Times New Roman"/>
          <w:color w:val="auto"/>
          <w:sz w:val="30"/>
          <w:szCs w:val="30"/>
        </w:rPr>
      </w:pP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2" w:firstLineChars="200"/>
        <w:rPr>
          <w:rFonts w:ascii="Times New Roman" w:hAnsi="Times New Roman" w:eastAsia="仿宋_GB2312" w:cs="Times New Roman"/>
          <w:b/>
          <w:bCs/>
          <w:color w:val="auto"/>
          <w:sz w:val="30"/>
          <w:szCs w:val="30"/>
        </w:rPr>
      </w:pPr>
      <w:r>
        <w:rPr>
          <w:rFonts w:ascii="Times New Roman" w:hAnsi="Times New Roman" w:eastAsia="仿宋_GB2312" w:cs="Times New Roman"/>
          <w:b w:val="0"/>
          <w:bCs w:val="0"/>
          <w:color w:val="000000"/>
          <w:sz w:val="30"/>
          <w:szCs w:val="30"/>
        </w:rPr>
        <w:t>境内主承销商（或境内相关代理机构）可通过境外发行人上市境内证券交易所</w:t>
      </w:r>
      <w:r>
        <w:rPr>
          <w:rFonts w:hint="eastAsia" w:ascii="Times New Roman" w:hAnsi="Times New Roman" w:eastAsia="仿宋_GB2312" w:cs="Times New Roman"/>
          <w:b w:val="0"/>
          <w:bCs w:val="0"/>
          <w:color w:val="000000"/>
          <w:sz w:val="30"/>
          <w:szCs w:val="30"/>
        </w:rPr>
        <w:t>向国家外汇管理局吉林省分局</w:t>
      </w:r>
      <w:r>
        <w:rPr>
          <w:rFonts w:ascii="Times New Roman" w:hAnsi="Times New Roman" w:eastAsia="仿宋_GB2312" w:cs="Times New Roman"/>
          <w:b w:val="0"/>
          <w:bCs w:val="0"/>
          <w:color w:val="000000"/>
          <w:sz w:val="30"/>
          <w:szCs w:val="30"/>
        </w:rPr>
        <w:t>业务窗口提交材料。</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firstLineChars="200"/>
        <w:rPr>
          <w:rFonts w:ascii="Times New Roman" w:hAnsi="Times New Roman" w:eastAsia="仿宋_GB2312" w:cs="Times New Roman"/>
          <w:color w:val="auto"/>
          <w:sz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业务登记凭证。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outlineLvl w:val="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w:t>
      </w:r>
      <w:r>
        <w:rPr>
          <w:rFonts w:ascii="Times New Roman" w:hAnsi="Times New Roman" w:eastAsia="仿宋_GB2312" w:cs="Times New Roman"/>
          <w:b w:val="0"/>
          <w:bCs w:val="0"/>
          <w:color w:val="auto"/>
          <w:sz w:val="30"/>
          <w:szCs w:val="30"/>
        </w:rPr>
        <w:t>合法合规办理相关业务，重要信息发生变更须及时向国家外汇管理局</w:t>
      </w:r>
      <w:r>
        <w:rPr>
          <w:rFonts w:hint="eastAsia" w:ascii="Times New Roman" w:hAnsi="Times New Roman" w:eastAsia="仿宋_GB2312" w:cs="Times New Roman"/>
          <w:b w:val="0"/>
          <w:bCs w:val="0"/>
          <w:color w:val="auto"/>
          <w:sz w:val="30"/>
          <w:szCs w:val="30"/>
        </w:rPr>
        <w:t>吉林省分局</w:t>
      </w:r>
      <w:r>
        <w:rPr>
          <w:rFonts w:ascii="Times New Roman" w:hAnsi="Times New Roman" w:eastAsia="仿宋_GB2312" w:cs="Times New Roman"/>
          <w:b w:val="0"/>
          <w:bCs w:val="0"/>
          <w:color w:val="auto"/>
          <w:sz w:val="30"/>
          <w:szCs w:val="30"/>
        </w:rPr>
        <w:t>报备，全面、及时、准确进行</w:t>
      </w:r>
      <w:r>
        <w:rPr>
          <w:rFonts w:ascii="Times New Roman" w:hAnsi="Times New Roman" w:eastAsia="仿宋_GB2312" w:cs="Times New Roman"/>
          <w:color w:val="auto"/>
          <w:sz w:val="30"/>
          <w:szCs w:val="30"/>
        </w:rPr>
        <w:t>国际收支申报、报送相关数据信息等</w:t>
      </w:r>
      <w:r>
        <w:rPr>
          <w:rFonts w:hint="eastAsia"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黑体" w:cs="Times New Roman"/>
          <w:color w:val="auto"/>
          <w:sz w:val="30"/>
          <w:szCs w:val="30"/>
        </w:rPr>
        <w:t>（十五）咨询途径、监督和投诉</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15"/>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黑体" w:cs="Times New Roman"/>
          <w:color w:val="auto"/>
          <w:sz w:val="30"/>
          <w:szCs w:val="30"/>
        </w:rPr>
        <w:t>（十六）办公地址和时间</w:t>
      </w:r>
    </w:p>
    <w:p>
      <w:pPr>
        <w:adjustRightInd w:val="0"/>
        <w:snapToGrid w:val="0"/>
        <w:spacing w:line="360" w:lineRule="auto"/>
        <w:ind w:firstLine="600" w:firstLineChars="200"/>
        <w:rPr>
          <w:rFonts w:ascii="仿宋_GB2312" w:hAnsi="Times New Roman" w:eastAsia="仿宋_GB2312"/>
          <w:color w:val="auto"/>
          <w:sz w:val="30"/>
          <w:szCs w:val="30"/>
        </w:rPr>
      </w:pPr>
      <w:r>
        <w:rPr>
          <w:rFonts w:ascii="仿宋_GB2312" w:hAnsi="Times New Roman" w:eastAsia="仿宋_GB2312"/>
          <w:color w:val="auto"/>
          <w:sz w:val="30"/>
          <w:szCs w:val="30"/>
        </w:rPr>
        <w:t>该项行政许可具体由国家外汇管理局分局办理，</w:t>
      </w:r>
      <w:r>
        <w:rPr>
          <w:rFonts w:hint="eastAsia" w:ascii="仿宋_GB2312" w:hAnsi="Times New Roman" w:eastAsia="仿宋_GB2312"/>
          <w:color w:val="auto"/>
          <w:sz w:val="30"/>
          <w:szCs w:val="30"/>
        </w:rPr>
        <w:t>国家外汇管理局吉林省</w:t>
      </w:r>
      <w:r>
        <w:rPr>
          <w:rFonts w:ascii="仿宋_GB2312" w:hAnsi="Times New Roman" w:eastAsia="仿宋_GB2312"/>
          <w:color w:val="auto"/>
          <w:sz w:val="30"/>
          <w:szCs w:val="30"/>
        </w:rPr>
        <w:t>分局办公地址和办公时间见</w:t>
      </w:r>
      <w:r>
        <w:rPr>
          <w:rFonts w:hint="eastAsia" w:ascii="仿宋_GB2312" w:hAnsi="Times New Roman" w:eastAsia="仿宋_GB2312"/>
          <w:color w:val="auto"/>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bookmarkStart w:id="0" w:name="_GoBack"/>
      <w:bookmarkEnd w:id="0"/>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tabs>
          <w:tab w:val="center" w:pos="4363"/>
        </w:tabs>
        <w:ind w:firstLine="600" w:firstLineChars="200"/>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p>
    <w:p>
      <w:pPr>
        <w:rPr>
          <w:rFonts w:ascii="Times New Roman" w:hAnsi="Times New Roman" w:eastAsia="仿宋_GB2312" w:cs="Times New Roman"/>
          <w:color w:val="auto"/>
          <w:sz w:val="30"/>
          <w:szCs w:val="30"/>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附录二  </w:t>
      </w:r>
    </w:p>
    <w:p>
      <w:pPr>
        <w:spacing w:line="400" w:lineRule="exact"/>
        <w:ind w:firstLine="57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Registration form for Issuance of Chinese Depositary Receipt</w:t>
      </w:r>
    </w:p>
    <w:tbl>
      <w:tblPr>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08"/>
        <w:gridCol w:w="879"/>
        <w:gridCol w:w="71"/>
        <w:gridCol w:w="1488"/>
        <w:gridCol w:w="848"/>
        <w:gridCol w:w="2696"/>
        <w:gridCol w:w="564"/>
        <w:gridCol w:w="712"/>
        <w:gridCol w:w="1417"/>
        <w:gridCol w:w="1568"/>
        <w:gridCol w:w="558"/>
        <w:gridCol w:w="1165"/>
      </w:tblGrid>
      <w:tr>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auto"/>
                <w:kern w:val="0"/>
                <w:sz w:val="24"/>
                <w:szCs w:val="24"/>
              </w:rPr>
            </w:pPr>
            <w:r>
              <w:rPr>
                <w:rFonts w:ascii="Times New Roman" w:hAnsi="Times New Roman" w:eastAsia="华文仿宋" w:cs="Times New Roman"/>
                <w:b/>
                <w:bCs/>
                <w:color w:val="auto"/>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2"/>
                <w:szCs w:val="21"/>
              </w:rPr>
            </w:pPr>
            <w:r>
              <w:rPr>
                <w:rFonts w:ascii="Times New Roman" w:hAnsi="Times New Roman" w:eastAsia="华文仿宋" w:cs="Times New Roman"/>
                <w:color w:val="auto"/>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auto"/>
                <w:kern w:val="0"/>
                <w:sz w:val="28"/>
                <w:szCs w:val="28"/>
              </w:rPr>
            </w:pPr>
            <w:r>
              <w:rPr>
                <w:rFonts w:ascii="Times New Roman" w:hAnsi="Times New Roman" w:eastAsia="华文仿宋" w:cs="Times New Roman"/>
                <w:b/>
                <w:bCs/>
                <w:color w:val="auto"/>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p>
        </w:tc>
      </w:tr>
      <w:tr>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auto"/>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2"/>
                <w:szCs w:val="21"/>
              </w:rPr>
            </w:pPr>
            <w:r>
              <w:rPr>
                <w:rFonts w:ascii="Times New Roman" w:hAnsi="Times New Roman" w:eastAsia="华文仿宋" w:cs="Times New Roman"/>
                <w:color w:val="auto"/>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auto"/>
                <w:kern w:val="0"/>
                <w:sz w:val="28"/>
                <w:szCs w:val="28"/>
              </w:rPr>
            </w:pPr>
            <w:r>
              <w:rPr>
                <w:rFonts w:ascii="Times New Roman" w:hAnsi="Times New Roman" w:eastAsia="华文仿宋" w:cs="Times New Roman"/>
                <w:b/>
                <w:bCs/>
                <w:color w:val="auto"/>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r>
      <w:tr>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p>
        </w:tc>
      </w:tr>
      <w:tr>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w:t>
            </w:r>
          </w:p>
        </w:tc>
      </w:tr>
      <w:tr>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auto"/>
                <w:kern w:val="0"/>
                <w:sz w:val="24"/>
                <w:szCs w:val="24"/>
              </w:rPr>
            </w:pPr>
            <w:r>
              <w:rPr>
                <w:rFonts w:ascii="Times New Roman" w:hAnsi="Times New Roman" w:eastAsia="华文仿宋" w:cs="Times New Roman"/>
                <w:b/>
                <w:bCs/>
                <w:color w:val="auto"/>
                <w:kern w:val="0"/>
                <w:sz w:val="24"/>
                <w:szCs w:val="24"/>
              </w:rPr>
              <w:t>二、中国存托凭证发行信息（发行结束后填写）II. Issuance Information of the Chinese Depositary Receipt(to be filled out when the issuance is completed)</w:t>
            </w:r>
          </w:p>
        </w:tc>
      </w:tr>
      <w:tr>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存托凭证名称</w:t>
            </w:r>
            <w:r>
              <w:rPr>
                <w:rFonts w:ascii="Times New Roman" w:hAnsi="Times New Roman" w:eastAsia="华文仿宋" w:cs="Times New Roman"/>
                <w:color w:val="auto"/>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auto"/>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批文号</w:t>
            </w:r>
          </w:p>
          <w:p>
            <w:pPr>
              <w:spacing w:line="300" w:lineRule="exact"/>
              <w:jc w:val="center"/>
              <w:rPr>
                <w:rFonts w:ascii="Times New Roman" w:hAnsi="Times New Roman" w:eastAsia="华文仿宋" w:cs="Times New Roman"/>
                <w:color w:val="auto"/>
                <w:sz w:val="24"/>
                <w:szCs w:val="24"/>
              </w:rPr>
            </w:pPr>
            <w:r>
              <w:rPr>
                <w:rFonts w:ascii="Times New Roman" w:hAnsi="Times New Roman" w:eastAsia="华文仿宋" w:cs="Times New Roman"/>
                <w:color w:val="auto"/>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r>
      <w:tr>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发行上市类型</w:t>
            </w:r>
            <w:r>
              <w:rPr>
                <w:rFonts w:ascii="Times New Roman" w:hAnsi="Times New Roman" w:eastAsia="华文仿宋" w:cs="Times New Roman"/>
                <w:color w:val="auto"/>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交易所公开</w:t>
            </w:r>
            <w:r>
              <w:rPr>
                <w:rFonts w:ascii="Times New Roman" w:hAnsi="Times New Roman" w:eastAsia="华文仿宋" w:cs="Times New Roman"/>
                <w:color w:val="auto"/>
                <w:sz w:val="24"/>
                <w:szCs w:val="24"/>
              </w:rPr>
              <w:t xml:space="preserve">□ </w:t>
            </w:r>
            <w:r>
              <w:rPr>
                <w:rFonts w:ascii="Times New Roman" w:hAnsi="华文仿宋" w:eastAsia="华文仿宋" w:cs="Times New Roman"/>
                <w:color w:val="auto"/>
                <w:sz w:val="24"/>
                <w:szCs w:val="24"/>
              </w:rPr>
              <w:t>交易所非公开</w:t>
            </w:r>
            <w:r>
              <w:rPr>
                <w:rFonts w:ascii="Times New Roman" w:hAnsi="Times New Roman" w:eastAsia="华文仿宋" w:cs="Times New Roman"/>
                <w:color w:val="auto"/>
                <w:sz w:val="24"/>
                <w:szCs w:val="24"/>
              </w:rPr>
              <w:t>□</w:t>
            </w:r>
            <w:r>
              <w:rPr>
                <w:rFonts w:ascii="Times New Roman" w:hAnsi="华文仿宋" w:eastAsia="华文仿宋" w:cs="Times New Roman"/>
                <w:color w:val="auto"/>
                <w:sz w:val="24"/>
                <w:szCs w:val="24"/>
              </w:rPr>
              <w:t>场外</w:t>
            </w:r>
            <w:r>
              <w:rPr>
                <w:rFonts w:ascii="Times New Roman" w:hAnsi="Times New Roman" w:eastAsia="华文仿宋" w:cs="Times New Roman"/>
                <w:color w:val="auto"/>
                <w:sz w:val="24"/>
                <w:szCs w:val="24"/>
              </w:rPr>
              <w:t>□   Publicly Issued On the Exchange□</w:t>
            </w:r>
          </w:p>
          <w:p>
            <w:pPr>
              <w:spacing w:line="300" w:lineRule="exact"/>
              <w:jc w:val="center"/>
              <w:rPr>
                <w:rFonts w:ascii="Times New Roman" w:hAnsi="Times New Roman" w:eastAsia="华文仿宋" w:cs="Times New Roman"/>
                <w:color w:val="auto"/>
                <w:sz w:val="24"/>
                <w:szCs w:val="24"/>
              </w:rPr>
            </w:pPr>
            <w:r>
              <w:rPr>
                <w:rFonts w:ascii="Times New Roman" w:hAnsi="Times New Roman" w:eastAsia="华文仿宋" w:cs="Times New Roman"/>
                <w:color w:val="auto"/>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用于创设的境外基础证券数量</w:t>
            </w:r>
          </w:p>
          <w:p>
            <w:pPr>
              <w:spacing w:line="300" w:lineRule="exact"/>
              <w:jc w:val="center"/>
              <w:rPr>
                <w:rFonts w:ascii="Times New Roman" w:hAnsi="Times New Roman" w:eastAsia="华文仿宋" w:cs="Times New Roman"/>
                <w:color w:val="auto"/>
                <w:sz w:val="24"/>
                <w:szCs w:val="24"/>
              </w:rPr>
            </w:pPr>
            <w:r>
              <w:rPr>
                <w:rFonts w:ascii="Times New Roman" w:hAnsi="Times New Roman" w:eastAsia="华文仿宋" w:cs="Times New Roman"/>
                <w:color w:val="auto"/>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r>
      <w:tr>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境外发行人基础证券发行（所在）地</w:t>
            </w:r>
            <w:r>
              <w:rPr>
                <w:rFonts w:ascii="Times New Roman" w:hAnsi="Times New Roman" w:eastAsia="华文仿宋" w:cs="Times New Roman"/>
                <w:color w:val="auto"/>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占发行人境外基础证券比例（</w:t>
            </w:r>
            <w:r>
              <w:rPr>
                <w:rFonts w:ascii="Times New Roman" w:hAnsi="Times New Roman" w:eastAsia="华文仿宋" w:cs="Times New Roman"/>
                <w:color w:val="auto"/>
                <w:sz w:val="24"/>
                <w:szCs w:val="24"/>
              </w:rPr>
              <w:t>%</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Percentage of the Total Offshore Underlying Securities</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存托凭证发行上市规模（人民币</w:t>
            </w:r>
            <w:r>
              <w:rPr>
                <w:rFonts w:ascii="Times New Roman" w:hAnsi="Times New Roman" w:eastAsia="华文仿宋" w:cs="Times New Roman"/>
                <w:color w:val="auto"/>
                <w:sz w:val="24"/>
                <w:szCs w:val="24"/>
              </w:rPr>
              <w:t>/</w:t>
            </w:r>
            <w:r>
              <w:rPr>
                <w:rFonts w:ascii="Times New Roman" w:hAnsi="华文仿宋" w:eastAsia="华文仿宋" w:cs="Times New Roman"/>
                <w:color w:val="auto"/>
                <w:sz w:val="24"/>
                <w:szCs w:val="24"/>
              </w:rPr>
              <w:t>元）</w:t>
            </w:r>
            <w:r>
              <w:rPr>
                <w:rFonts w:ascii="Times New Roman" w:hAnsi="Times New Roman" w:eastAsia="华文仿宋" w:cs="Times New Roman"/>
                <w:color w:val="auto"/>
                <w:sz w:val="24"/>
                <w:szCs w:val="24"/>
              </w:rPr>
              <w:t xml:space="preserve"> Offering Size of the CDR</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RMB</w:t>
            </w:r>
            <w:r>
              <w:rPr>
                <w:rFonts w:ascii="Times New Roman" w:hAnsi="华文仿宋" w:eastAsia="华文仿宋" w:cs="Times New Roman"/>
                <w:color w:val="auto"/>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r>
      <w:tr>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每股存托凭证代表基础证券份额</w:t>
            </w:r>
            <w:r>
              <w:rPr>
                <w:rFonts w:ascii="Times New Roman" w:hAnsi="Times New Roman" w:eastAsia="华文仿宋" w:cs="Times New Roman"/>
                <w:color w:val="auto"/>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每股存托凭证发行价格（人民币</w:t>
            </w:r>
            <w:r>
              <w:rPr>
                <w:rFonts w:ascii="Times New Roman" w:hAnsi="Times New Roman" w:eastAsia="华文仿宋" w:cs="Times New Roman"/>
                <w:color w:val="auto"/>
                <w:sz w:val="24"/>
                <w:szCs w:val="24"/>
              </w:rPr>
              <w:t>/</w:t>
            </w:r>
            <w:r>
              <w:rPr>
                <w:rFonts w:ascii="Times New Roman" w:hAnsi="华文仿宋" w:eastAsia="华文仿宋" w:cs="Times New Roman"/>
                <w:color w:val="auto"/>
                <w:sz w:val="24"/>
                <w:szCs w:val="24"/>
              </w:rPr>
              <w:t>元）</w:t>
            </w:r>
            <w:r>
              <w:rPr>
                <w:rFonts w:ascii="Times New Roman" w:hAnsi="Times New Roman" w:eastAsia="华文仿宋" w:cs="Times New Roman"/>
                <w:color w:val="auto"/>
                <w:sz w:val="24"/>
                <w:szCs w:val="24"/>
              </w:rPr>
              <w:t xml:space="preserve"> Offering Price</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per CDR</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RMB</w:t>
            </w:r>
            <w:r>
              <w:rPr>
                <w:rFonts w:ascii="Times New Roman" w:hAnsi="华文仿宋" w:eastAsia="华文仿宋" w:cs="Times New Roman"/>
                <w:color w:val="auto"/>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发行上市日期</w:t>
            </w:r>
            <w:r>
              <w:rPr>
                <w:rFonts w:ascii="Times New Roman" w:hAnsi="Times New Roman" w:eastAsia="华文仿宋" w:cs="Times New Roman"/>
                <w:color w:val="auto"/>
                <w:sz w:val="24"/>
                <w:szCs w:val="24"/>
              </w:rPr>
              <w:t xml:space="preserve"> </w:t>
            </w:r>
          </w:p>
          <w:p>
            <w:pPr>
              <w:spacing w:line="300" w:lineRule="exact"/>
              <w:jc w:val="center"/>
              <w:rPr>
                <w:rFonts w:ascii="Times New Roman" w:hAnsi="Times New Roman" w:eastAsia="华文仿宋" w:cs="Times New Roman"/>
                <w:color w:val="auto"/>
                <w:sz w:val="24"/>
                <w:szCs w:val="24"/>
              </w:rPr>
            </w:pPr>
            <w:r>
              <w:rPr>
                <w:rFonts w:ascii="Times New Roman" w:hAnsi="Times New Roman" w:eastAsia="华文仿宋" w:cs="Times New Roman"/>
                <w:color w:val="auto"/>
                <w:sz w:val="24"/>
                <w:szCs w:val="24"/>
              </w:rPr>
              <w:t>Issuance &amp; Listing Date</w:t>
            </w:r>
            <w:r>
              <w:rPr>
                <w:rFonts w:ascii="Times New Roman" w:hAnsi="华文仿宋" w:eastAsia="华文仿宋" w:cs="Times New Roman"/>
                <w:color w:val="auto"/>
                <w:sz w:val="24"/>
                <w:szCs w:val="24"/>
              </w:rPr>
              <w:t>（</w:t>
            </w:r>
            <w:r>
              <w:rPr>
                <w:rFonts w:ascii="Times New Roman" w:hAnsi="Times New Roman" w:eastAsia="华文仿宋" w:cs="Times New Roman"/>
                <w:color w:val="auto"/>
                <w:sz w:val="24"/>
                <w:szCs w:val="24"/>
              </w:rPr>
              <w:t>YYYY-MM-DD</w:t>
            </w:r>
            <w:r>
              <w:rPr>
                <w:rFonts w:ascii="Times New Roman" w:hAnsi="华文仿宋" w:eastAsia="华文仿宋" w:cs="Times New Roman"/>
                <w:color w:val="auto"/>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r>
      <w:tr>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拟留存境内金额</w:t>
            </w:r>
            <w:r>
              <w:rPr>
                <w:rFonts w:ascii="Times New Roman" w:hAnsi="Times New Roman" w:eastAsia="华文仿宋" w:cs="Times New Roman"/>
                <w:color w:val="auto"/>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s="Times New Roman"/>
                <w:color w:val="auto"/>
                <w:sz w:val="24"/>
                <w:szCs w:val="24"/>
              </w:rPr>
            </w:pPr>
            <w:r>
              <w:rPr>
                <w:rFonts w:ascii="Times New Roman" w:cs="Times New Roman"/>
                <w:color w:val="auto"/>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拟汇出境外金额</w:t>
            </w:r>
            <w:r>
              <w:rPr>
                <w:rFonts w:ascii="Times New Roman" w:hAnsi="Times New Roman" w:eastAsia="华文仿宋" w:cs="Times New Roman"/>
                <w:color w:val="auto"/>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s="Times New Roman"/>
                <w:color w:val="auto"/>
                <w:sz w:val="24"/>
                <w:szCs w:val="24"/>
              </w:rPr>
            </w:pPr>
            <w:r>
              <w:rPr>
                <w:rFonts w:ascii="Times New Roman" w:cs="Times New Roman"/>
                <w:color w:val="auto"/>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其中拟购汇金额</w:t>
            </w:r>
          </w:p>
          <w:p>
            <w:pPr>
              <w:spacing w:line="300" w:lineRule="exact"/>
              <w:jc w:val="center"/>
              <w:rPr>
                <w:rFonts w:ascii="Times New Roman" w:hAnsi="Times New Roman" w:eastAsia="华文仿宋" w:cs="Times New Roman"/>
                <w:color w:val="auto"/>
                <w:sz w:val="24"/>
                <w:szCs w:val="24"/>
              </w:rPr>
            </w:pPr>
            <w:r>
              <w:rPr>
                <w:rFonts w:ascii="Times New Roman" w:hAnsi="Times New Roman" w:eastAsia="华文仿宋" w:cs="Times New Roman"/>
                <w:color w:val="auto"/>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auto"/>
                <w:sz w:val="24"/>
                <w:szCs w:val="24"/>
              </w:rPr>
            </w:pPr>
            <w:r>
              <w:rPr>
                <w:rFonts w:ascii="Times New Roman" w:hAnsi="华文仿宋" w:eastAsia="华文仿宋" w:cs="Times New Roman"/>
                <w:color w:val="auto"/>
                <w:sz w:val="24"/>
                <w:szCs w:val="24"/>
              </w:rPr>
              <w:t>　</w:t>
            </w:r>
          </w:p>
        </w:tc>
      </w:tr>
      <w:tr>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境外基础证券发行人（签章）Issuer （Authorized Signature）：</w:t>
            </w:r>
          </w:p>
          <w:p>
            <w:pPr>
              <w:spacing w:line="420" w:lineRule="exact"/>
              <w:jc w:val="center"/>
              <w:rPr>
                <w:rFonts w:ascii="Times New Roman" w:hAnsi="Times New Roman" w:eastAsia="华文仿宋" w:cs="Times New Roman"/>
                <w:color w:val="auto"/>
                <w:kern w:val="0"/>
                <w:sz w:val="24"/>
                <w:szCs w:val="24"/>
              </w:rPr>
            </w:pPr>
            <w:r>
              <w:rPr>
                <w:rFonts w:ascii="Times New Roman" w:hAnsi="Times New Roman" w:eastAsia="华文仿宋" w:cs="Times New Roman"/>
                <w:color w:val="auto"/>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color w:val="auto"/>
          <w:sz w:val="30"/>
          <w:szCs w:val="30"/>
        </w:rPr>
        <w:sectPr>
          <w:footerReference r:id="rId6" w:type="default"/>
          <w:pgSz w:w="16838" w:h="11906" w:orient="landscape"/>
          <w:pgMar w:top="1797" w:right="1440" w:bottom="1797" w:left="1440" w:header="851" w:footer="992" w:gutter="0"/>
          <w:cols w:space="720" w:num="1"/>
          <w:docGrid w:type="linesAndChars" w:linePitch="312"/>
        </w:sectPr>
      </w:pP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附录三</w:t>
      </w:r>
    </w:p>
    <w:p>
      <w:pPr>
        <w:adjustRightInd w:val="0"/>
        <w:snapToGrid w:val="0"/>
        <w:spacing w:line="360" w:lineRule="auto"/>
        <w:jc w:val="center"/>
        <w:rPr>
          <w:rFonts w:ascii="Times New Roman" w:hAnsi="Times New Roman" w:eastAsia="黑体" w:cs="Times New Roman"/>
          <w:color w:val="auto"/>
          <w:sz w:val="30"/>
          <w:szCs w:val="30"/>
        </w:rPr>
      </w:pPr>
    </w:p>
    <w:p>
      <w:pPr>
        <w:adjustRightInd w:val="0"/>
        <w:snapToGrid w:val="0"/>
        <w:spacing w:line="360" w:lineRule="auto"/>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常见问题</w:t>
      </w:r>
    </w:p>
    <w:p>
      <w:pPr>
        <w:adjustRightInd w:val="0"/>
        <w:snapToGrid w:val="0"/>
        <w:spacing w:line="360" w:lineRule="auto"/>
        <w:jc w:val="center"/>
        <w:rPr>
          <w:rFonts w:ascii="Times New Roman" w:hAnsi="Times New Roman" w:eastAsia="黑体" w:cs="Times New Roman"/>
          <w:color w:val="auto"/>
          <w:sz w:val="30"/>
          <w:szCs w:val="30"/>
        </w:rPr>
      </w:pPr>
    </w:p>
    <w:p>
      <w:pPr>
        <w:widowControl/>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636</Words>
  <Characters>3631</Characters>
  <Lines>30</Lines>
  <Paragraphs>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pc</cp:lastModifiedBy>
  <cp:lastPrinted>2020-05-15T03:40:00Z</cp:lastPrinted>
  <dcterms:modified xsi:type="dcterms:W3CDTF">2021-04-23T00:56:03Z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