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编号：5700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1</w:t>
      </w:r>
      <w:r>
        <w:rPr>
          <w:rFonts w:ascii="Times New Roman" w:hAnsi="Times New Roman" w:eastAsia="黑体" w:cs="Times New Roman"/>
          <w:sz w:val="48"/>
          <w:szCs w:val="48"/>
        </w:rPr>
        <w:t>-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2</w:t>
      </w:r>
      <w:r>
        <w:rPr>
          <w:rFonts w:ascii="Times New Roman" w:hAnsi="Times New Roman" w:eastAsia="黑体" w:cs="Times New Roman"/>
          <w:sz w:val="48"/>
          <w:szCs w:val="48"/>
        </w:rPr>
        <w:t xml:space="preserve">  </w:t>
      </w: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 xml:space="preserve">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69.6pt;width:86.9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“进口付汇事前审核”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进口付汇事前审核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）《国家外汇管理局关于印发〈经常项目外汇业务指引（2020年版）〉的通知》（汇发〔2020〕14号）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</w:t>
      </w:r>
      <w:r>
        <w:rPr>
          <w:rFonts w:ascii="Times New Roman" w:hAnsi="Times New Roman" w:eastAsia="仿宋_GB2312" w:cs="Times New Roman"/>
          <w:sz w:val="30"/>
          <w:szCs w:val="30"/>
        </w:rPr>
        <w:t>局。</w:t>
      </w: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辖内进出口企业。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2.超过付汇额度的B类企业；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3.发生90天以上（不含）延期付款的B类企业；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发生</w:t>
      </w:r>
      <w:r>
        <w:rPr>
          <w:rFonts w:hint="eastAsia" w:ascii="仿宋_GB2312" w:hAnsi="Times New Roman" w:eastAsia="仿宋_GB2312"/>
          <w:sz w:val="30"/>
          <w:szCs w:val="30"/>
        </w:rPr>
        <w:t>退汇日期与原收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Times New Roman" w:eastAsia="仿宋_GB2312"/>
          <w:sz w:val="30"/>
          <w:szCs w:val="30"/>
        </w:rPr>
        <w:t>付款日期间隔在180天（不含）以上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或由于特殊情况无法原路退汇的企业（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A类企业单笔等值5万美元（不含）以下退汇业务除外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），贸易外汇收支便利化试点企业免于事前登记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;</w:t>
      </w:r>
    </w:p>
    <w:p>
      <w:pPr>
        <w:ind w:firstLine="600" w:firstLineChars="200"/>
        <w:rPr>
          <w:rFonts w:hint="eastAsia" w:ascii="仿宋_GB2312" w:hAnsi="Times New Roman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sz w:val="30"/>
          <w:szCs w:val="30"/>
          <w:shd w:val="clear" w:color="auto" w:fill="auto"/>
        </w:rPr>
        <w:t>5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</w:rPr>
        <w:t>需要将待核查账户资本项目资金结汇或划出的企业</w:t>
      </w:r>
      <w:r>
        <w:rPr>
          <w:rFonts w:hint="eastAsia" w:ascii="仿宋_GB2312" w:hAnsi="Times New Roman" w:eastAsia="仿宋_GB2312"/>
          <w:sz w:val="30"/>
          <w:szCs w:val="30"/>
          <w:shd w:val="clear" w:color="auto" w:fill="auto"/>
          <w:lang w:eastAsia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0"/>
          <w:szCs w:val="30"/>
        </w:rPr>
        <w:t>.办理新出现的贸易新业态外汇支出业务的企业。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交易合规：C类企业原则上不得办理90天以上（不含）的远期信用证（含展期）、海外代付等进口贸易融资业务；不得办理90天以上（不含）的延期付款、托收业务；不得办理离岸转手买卖外汇支出；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2.对于超过付汇额度的B类企业：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交易合规：B类企业原则上不得办理90天以上（不含）的延期付款业务；不得办理离岸转手买卖外汇支出；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3.对于90天以上（不含）延期付款的B类企业：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交易合规：在分类监管有效期内，此前导致降级的情况已改善或纠正，且没有发生法规规定情形的，自列入B类之日起6个月后，可经外汇局登记办理该业务。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交易合规。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5</w:t>
      </w:r>
      <w:r>
        <w:rPr>
          <w:rFonts w:ascii="Times New Roman" w:hAnsi="Times New Roman" w:eastAsia="仿宋_GB2312" w:cs="Times New Roman"/>
          <w:sz w:val="30"/>
          <w:szCs w:val="30"/>
        </w:rPr>
        <w:t>.对于新出现的贸易新业态外汇支出业务：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sz w:val="30"/>
          <w:szCs w:val="30"/>
        </w:rPr>
        <w:t>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（一）C类企业进口付汇登记申请材料清单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346"/>
        <w:gridCol w:w="1417"/>
        <w:gridCol w:w="425"/>
        <w:gridCol w:w="851"/>
        <w:gridCol w:w="2268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加盖企业公章的原件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说明需登记的事项和具体内容。对于贸易收汇的退汇支付，应在书面申请中具体说明退汇原因以及退汇同时是否发生货物退运。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对于代理进口业务，代理方为C类企业的，应当按规定办理贸易外汇支出登记。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1.一般情况应提交进口合同；2.对于贸易收汇的退汇支付，因错误汇入以外的其他原因产生的，提交原出口合同。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预付货款方式结算时提供发票。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1.除信用证、托收、预付货款外其他方式结算，货物已进口报关的，需提供报关单，货物不报关的，可提供运输单据等其他材料；2.发生货物退运而产生贸易收汇退汇支付时应提供。 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捐赠协议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对于进口与支出主体不一致的业务，属于捐赠进口业务的，应提交捐赠协议。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因企业分立、合并原因导致进口与支出主体不一致的，应提交相关部门出具的分立、合并证明文件。 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Style w:val="13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贸易收汇退汇时提供原收汇凭证。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Style w:val="13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退汇协议、错汇说明等证明付汇真实性的材料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268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（二）超过付汇额度的B类企业进口付汇登记申请材料清单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52"/>
        <w:gridCol w:w="1244"/>
        <w:gridCol w:w="457"/>
        <w:gridCol w:w="851"/>
        <w:gridCol w:w="3218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说明为B类企业及具有超过可付汇额度付汇需要。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对于代理业务，代理方为B类企业且可付汇额度不足的，应当按规定办理贸易外汇支出登记。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可付汇额度不足的证明材料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 一般情况应提交进口合同；2.对于贸易收汇的退汇支付，因错误汇入以外的其他原因产生的，提交原出口合同。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预付货款方式结算时提供发票。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 除信用证、托收、预付货款外其他方式结算的，货物已进口报关的，需提供报关单，货物不报关的，可提供运输单据等其他材料；2.发生货物退运而产生贸易收汇退汇支付时应提供。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捐赠协议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对于进口与支出主体不一致的业务，属于捐赠进口业务的，应提交捐赠协议。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因企业分立、合并原因导致进口与支出主体不一致的，应提交相关部门出具的分立、合并证明文件。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贸易收汇退汇时提供原收汇凭证。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退汇协议、错汇说明等证明付汇真实性的材料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21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（三）90天以上延期付款的B类企业进口付汇登记申请材料清单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352"/>
        <w:gridCol w:w="1985"/>
        <w:gridCol w:w="992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说明需登记的事项和具体内容。 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进口合同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进口货物报关单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货物不报关的可提供运输单据等其他材料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需90天以上延期付款的证明材料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486"/>
        <w:gridCol w:w="993"/>
        <w:gridCol w:w="457"/>
        <w:gridCol w:w="818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说明需要登记事项的具体内容，超期限或无法原路退汇的原因，退汇同时是否发生货物退运。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原收汇凭证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原出口合同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因错误汇入以外的其他原因产生的贸易收汇退汇，提供原出口合同。 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发生货物退运时提供进口报关单。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（五）新出现的贸易新业态进口付汇登记申请材料清单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78"/>
        <w:gridCol w:w="1417"/>
        <w:gridCol w:w="567"/>
        <w:gridCol w:w="992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加盖企业公章的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说明需登记的事项和具体内容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原件及加盖企业公章的复印件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</w:t>
      </w:r>
      <w:r>
        <w:rPr>
          <w:rFonts w:ascii="Times New Roman" w:hAnsi="Times New Roman" w:eastAsia="黑体" w:cs="Times New Roman"/>
          <w:sz w:val="30"/>
          <w:szCs w:val="30"/>
        </w:rPr>
        <w:t>、申请接受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国家外汇管理局湖南省分局经常项目管理处业务窗口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ascii="Times New Roman" w:hAnsi="Times New Roman" w:eastAsia="黑体" w:cs="Times New Roman"/>
          <w:sz w:val="30"/>
          <w:szCs w:val="30"/>
        </w:rPr>
        <w:t>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（六）不予许可的，做出不予许可的行政许可书面决定并说明理由；予以许可的，出具贸易外汇业务登记表或备案通知书。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</w:t>
      </w:r>
      <w:r>
        <w:rPr>
          <w:rFonts w:ascii="Times New Roman" w:hAnsi="Times New Roman" w:eastAsia="黑体" w:cs="Times New Roman"/>
          <w:sz w:val="30"/>
          <w:szCs w:val="30"/>
        </w:rPr>
        <w:t>、办理方式</w:t>
      </w:r>
    </w:p>
    <w:p>
      <w:pPr>
        <w:tabs>
          <w:tab w:val="left" w:pos="615"/>
        </w:tabs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十、审批时限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一</w:t>
      </w:r>
      <w:r>
        <w:rPr>
          <w:rFonts w:ascii="Times New Roman" w:hAnsi="Times New Roman" w:eastAsia="黑体" w:cs="Times New Roman"/>
          <w:sz w:val="30"/>
          <w:szCs w:val="30"/>
        </w:rPr>
        <w:t>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三</w:t>
      </w:r>
      <w:r>
        <w:rPr>
          <w:rFonts w:ascii="Times New Roman" w:hAnsi="Times New Roman" w:eastAsia="黑体" w:cs="Times New Roman"/>
          <w:sz w:val="30"/>
          <w:szCs w:val="30"/>
        </w:rPr>
        <w:t>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四</w:t>
      </w:r>
      <w:r>
        <w:rPr>
          <w:rFonts w:ascii="Times New Roman" w:hAnsi="Times New Roman" w:eastAsia="黑体" w:cs="Times New Roman"/>
          <w:sz w:val="30"/>
          <w:szCs w:val="30"/>
        </w:rPr>
        <w:t>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afterLines="50" w:line="560" w:lineRule="exact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622;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B座一楼政务大厅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6" o:spid="_x0000_s1026" o:spt="116" type="#_x0000_t116" style="position:absolute;left:0pt;margin-left:-5.25pt;margin-top:4.45pt;height:70.75pt;width:99.8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7" o:spid="_x0000_s1027" o:spt="32" type="#_x0000_t32" style="position:absolute;left:0pt;margin-left:39.8pt;margin-top:12.8pt;height:43.4pt;width:0.8pt;z-index:25166028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28" o:spid="_x0000_s1028" o:spt="32" type="#_x0000_t32" style="position:absolute;left:0pt;flip:x;margin-left:41.45pt;margin-top:21.05pt;height:0.05pt;width:232.15pt;z-index:25166131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29" o:spid="_x0000_s1029" o:spt="1" style="position:absolute;left:0pt;margin-left:273.6pt;margin-top:1.6pt;height:33.7pt;width:146.45pt;z-index:25166233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0" o:spid="_x0000_s1030" o:spt="32" type="#_x0000_t32" style="position:absolute;left:0pt;margin-left:41.45pt;margin-top:125.3pt;height:57.55pt;width:0.05pt;z-index:25166336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1" o:spid="_x0000_s1031" o:spt="32" type="#_x0000_t32" style="position:absolute;left:0pt;margin-left:99.95pt;margin-top:92.5pt;height:0.05pt;width:52pt;z-index:25166438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32" o:spid="_x0000_s1032" o:spt="1" style="position:absolute;left:0pt;margin-left:151.95pt;margin-top:80pt;height:45.3pt;width:268.1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3" o:spid="_x0000_s1033" o:spt="116" type="#_x0000_t116" style="position:absolute;left:0pt;margin-left:-5.25pt;margin-top:375.2pt;height:63.55pt;width:197.6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4" o:spid="_x0000_s1034" o:spt="116" type="#_x0000_t116" style="position:absolute;left:0pt;margin-left:198.8pt;margin-top:375.2pt;height:63.55pt;width:180.85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5" o:spid="_x0000_s1035" o:spt="32" type="#_x0000_t32" style="position:absolute;left:0pt;margin-left:237.25pt;margin-top:323.1pt;height:52.1pt;width:0.05pt;z-index:251668480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6" o:spid="_x0000_s1036" o:spt="32" type="#_x0000_t32" style="position:absolute;left:0pt;margin-left:117.65pt;margin-top:323.1pt;height:52.1pt;width:0.05pt;z-index:251669504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7" o:spid="_x0000_s1037" o:spt="110" type="#_x0000_t110" style="position:absolute;left:0pt;margin-left:94.55pt;margin-top:265.4pt;height:86.2pt;width:166.25pt;z-index:25167052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/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8" o:spid="_x0000_s1038" o:spt="32" type="#_x0000_t32" style="position:absolute;left:0pt;margin-left:179.6pt;margin-top:231.45pt;height:33.95pt;width:0.05pt;z-index:25167155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39" o:spid="_x0000_s1039" o:spt="32" type="#_x0000_t32" style="position:absolute;left:0pt;margin-left:103.8pt;margin-top:61.4pt;height:0.05pt;width:48.15pt;z-index:251672576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0" o:spid="_x0000_s1040" o:spt="110" type="#_x0000_t110" style="position:absolute;left:0pt;margin-left:-42.55pt;margin-top:25pt;height:100.3pt;width:166.25pt;z-index:25167360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1" o:spid="_x0000_s1041" o:spt="1" style="position:absolute;left:0pt;margin-left:81.7pt;margin-top:162.05pt;height:69.4pt;width:210.9pt;z-index:25167462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2" o:spid="_x0000_s1042" o:spt="32" type="#_x0000_t32" style="position:absolute;left:0pt;margin-left:40.6pt;margin-top:182.85pt;height:0.05pt;width:41.1pt;z-index:251675648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_x0000_s1043" o:spid="_x0000_s1043" o:spt="32" type="#_x0000_t32" style="position:absolute;left:0pt;flip:y;margin-left:345.35pt;margin-top:4.1pt;height:44.75pt;width:0.05pt;z-index:251676672;mso-width-relative:page;mso-height-relative:page;" fillcolor="#FFFFFF" filled="t" o:preferrelative="t" stroked="t" coordsize="21600,21600">
            <v:path arrowok="t"/>
            <v:fill on="t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044" o:spid="_x0000_s1044" o:spt="1" style="position:absolute;left:0pt;margin-left:151.95pt;margin-top:48.85pt;height:25pt;width:268.1pt;z-index:25167769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企业统一社会信用代码、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widowControl/>
        <w:spacing w:line="384" w:lineRule="auto"/>
        <w:ind w:right="900" w:firstLine="5400" w:firstLineChars="18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年  月  日</w:t>
      </w:r>
    </w:p>
    <w:p>
      <w:pPr>
        <w:widowControl/>
        <w:spacing w:line="384" w:lineRule="auto"/>
        <w:jc w:val="right"/>
        <w:rPr>
          <w:rFonts w:ascii="Times New Roman" w:hAnsi="Times New Roman" w:eastAsia="仿宋_GB2312" w:cs="Times New Roman"/>
          <w:kern w:val="0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highlight w:val="none"/>
          <w:lang w:eastAsia="zh-CN"/>
        </w:rPr>
        <w:t>企业联系人及联系电话</w:t>
      </w:r>
    </w:p>
    <w:p>
      <w:pPr>
        <w:widowControl/>
        <w:spacing w:line="384" w:lineRule="auto"/>
        <w:ind w:right="900" w:firstLine="5400" w:firstLineChars="18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981"/>
    <w:multiLevelType w:val="singleLevel"/>
    <w:tmpl w:val="6628C98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7000908"/>
    <w:rsid w:val="4BE323D0"/>
    <w:rsid w:val="78DF71CF"/>
    <w:rsid w:val="7D871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5"/>
        <o:r id="V:Rule6" type="connector" idref="#_x0000_s1036"/>
        <o:r id="V:Rule7" type="connector" idref="#_x0000_s1038"/>
        <o:r id="V:Rule8" type="connector" idref="#_x0000_s1039"/>
        <o:r id="V:Rule9" type="connector" idref="#_x0000_s1042"/>
        <o:r id="V:Rule10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 Char"/>
    <w:basedOn w:val="6"/>
    <w:link w:val="2"/>
    <w:qFormat/>
    <w:uiPriority w:val="99"/>
    <w:rPr>
      <w:sz w:val="18"/>
      <w:szCs w:val="18"/>
    </w:rPr>
  </w:style>
  <w:style w:type="character" w:customStyle="1" w:styleId="13">
    <w:name w:val="mini-output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875</Words>
  <Characters>4994</Characters>
  <Lines>41</Lines>
  <Paragraphs>11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0</cp:lastModifiedBy>
  <cp:lastPrinted>2020-05-08T08:38:00Z</cp:lastPrinted>
  <dcterms:modified xsi:type="dcterms:W3CDTF">2022-05-23T07:59:41Z</dcterms:modified>
  <dc:title>进口付汇事前审核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C44D457DD3FE42169635F03CEF71B46A</vt:lpwstr>
  </property>
</Properties>
</file>