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编号：57016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-2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_x0000_i1025" o:spt="75" type="#_x0000_t75" style="height:72.25pt;width:82pt;" filled="f" o:preferrelative="t" stroked="f" coordsize="21600,21600">
            <v:path/>
            <v:fill on="f" focussize="0,0"/>
            <v:stroke on="f"/>
            <v:imagedata r:id="rId6" blacklevel="0f" o:title=""/>
            <o:lock v:ext="edit" aspectratio="t"/>
            <w10:wrap type="none"/>
            <w10:anchorlock/>
          </v:shape>
        </w:pic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黑体" w:hAnsi="黑体" w:eastAsia="黑体" w:cs="黑体"/>
          <w:sz w:val="52"/>
          <w:szCs w:val="52"/>
        </w:rPr>
        <w:t>“</w:t>
      </w:r>
      <w:r>
        <w:rPr>
          <w:rFonts w:hint="eastAsia" w:ascii="黑体" w:hAnsi="黑体" w:eastAsia="黑体" w:cs="黑体"/>
          <w:sz w:val="48"/>
          <w:szCs w:val="48"/>
        </w:rPr>
        <w:t>个人提取外币现钞（单笔或当日提取超过累计等值10000美元现钞）</w:t>
      </w:r>
      <w:r>
        <w:rPr>
          <w:rFonts w:hint="eastAsia" w:ascii="黑体" w:hAnsi="黑体" w:eastAsia="黑体" w:cs="黑体"/>
          <w:sz w:val="52"/>
          <w:szCs w:val="52"/>
        </w:rPr>
        <w:t>”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省分局</w:t>
      </w: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bCs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二</w:t>
      </w:r>
      <w:r>
        <w:rPr>
          <w:rFonts w:ascii="Times New Roman" w:hAnsi="Times New Roman" w:eastAsia="黑体" w:cs="Times New Roman"/>
          <w:sz w:val="30"/>
          <w:szCs w:val="30"/>
        </w:rPr>
        <w:t>、受理机构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和</w:t>
      </w:r>
      <w:r>
        <w:rPr>
          <w:rFonts w:ascii="Times New Roman" w:hAnsi="Times New Roman" w:eastAsia="黑体" w:cs="Times New Roman"/>
          <w:sz w:val="30"/>
          <w:szCs w:val="30"/>
        </w:rPr>
        <w:t>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湖南省分局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服务对象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val="en-US" w:eastAsia="zh-CN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五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申请材料</w:t>
      </w:r>
    </w:p>
    <w:tbl>
      <w:tblPr>
        <w:tblStyle w:val="13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七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申请接受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</w:pP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申请人可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  <w:lang w:eastAsia="zh-CN"/>
        </w:rPr>
        <w:t>向国家外汇管理局湖南省分局经常项目管理处</w:t>
      </w:r>
      <w:r>
        <w:rPr>
          <w:rFonts w:ascii="Times New Roman" w:hAnsi="Times New Roman" w:eastAsia="仿宋_GB2312" w:cs="Times New Roman"/>
          <w:sz w:val="30"/>
          <w:szCs w:val="30"/>
          <w:highlight w:val="none"/>
        </w:rPr>
        <w:t>提交材料</w:t>
      </w:r>
      <w:r>
        <w:rPr>
          <w:rFonts w:hint="eastAsia" w:ascii="Times New Roman" w:hAnsi="Times New Roman" w:eastAsia="仿宋_GB2312" w:cs="Times New Roman"/>
          <w:sz w:val="30"/>
          <w:szCs w:val="30"/>
          <w:highlight w:val="none"/>
        </w:rPr>
        <w:t>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八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基本办理流程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（一）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（二）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（三）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（四）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（五）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九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办理方式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审批时限</w:t>
      </w:r>
    </w:p>
    <w:p>
      <w:pPr>
        <w:wordWrap/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审批收费依据及标准</w:t>
      </w:r>
    </w:p>
    <w:p>
      <w:pPr>
        <w:wordWrap/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wordWrap/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审批结果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结果送达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十四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、</w:t>
      </w:r>
      <w:r>
        <w:rPr>
          <w:rFonts w:ascii="Times New Roman" w:hAnsi="Times New Roman" w:eastAsia="黑体" w:cs="Times New Roman"/>
          <w:sz w:val="30"/>
          <w:szCs w:val="30"/>
        </w:rPr>
        <w:t>申请人权利和义务</w:t>
      </w:r>
    </w:p>
    <w:p>
      <w:pPr>
        <w:wordWrap/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widowControl/>
        <w:kinsoku w:val="0"/>
        <w:wordWrap/>
        <w:autoSpaceDE w:val="0"/>
        <w:autoSpaceDN w:val="0"/>
        <w:adjustRightInd/>
        <w:snapToGrid/>
        <w:spacing w:line="360" w:lineRule="auto"/>
        <w:ind w:firstLine="600" w:firstLineChars="200"/>
        <w:jc w:val="both"/>
        <w:textAlignment w:val="baseline"/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十五、</w:t>
      </w:r>
      <w:r>
        <w:rPr>
          <w:rFonts w:hint="eastAsia" w:ascii="黑体" w:hAnsi="黑体" w:eastAsia="黑体" w:cs="黑体"/>
          <w:snapToGrid w:val="0"/>
          <w:color w:val="000000"/>
          <w:spacing w:val="7"/>
          <w:kern w:val="0"/>
          <w:sz w:val="30"/>
          <w:szCs w:val="30"/>
          <w:lang w:eastAsia="zh-CN"/>
        </w:rPr>
        <w:t>办理地点、时间及联系方式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办公地址：长沙市芙蓉区蔡锷中路2号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B座902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办公时间：5月1日-9月30日：8:30-12:00；14:00-17:00;其他日期：8:30-12:00；14:30-17:30（法定节假日除外）。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联系电话：0731-84301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686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通讯地址：长沙市芙蓉区蔡锷中路2号中国人民银行长沙中心支行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经常项目管理处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邮政编码：410005。</w:t>
      </w: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</w:p>
    <w:p>
      <w:pPr>
        <w:widowControl w:val="0"/>
        <w:wordWrap/>
        <w:adjustRightInd w:val="0"/>
        <w:snapToGrid w:val="0"/>
        <w:spacing w:line="360" w:lineRule="auto"/>
        <w:ind w:firstLine="600" w:firstLineChars="200"/>
        <w:textAlignment w:val="auto"/>
        <w:rPr>
          <w:rFonts w:hint="eastAsia" w:ascii="Times New Roman" w:hAnsi="Times New Roman" w:eastAsia="仿宋_GB2312" w:cs="Times New Roman"/>
          <w:sz w:val="30"/>
          <w:szCs w:val="30"/>
        </w:rPr>
      </w:pP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5" o:spid="_x0000_s1026" o:spt="203" style="position:absolute;left:0pt;margin-left:-21.85pt;margin-top:10.45pt;height:226.15pt;width:453.05pt;z-index:251659264;mso-width-relative:page;mso-height-relative:page;" coordorigin="1363,2897" coordsize="9061,4523">
            <o:lock v:ext="edit" position="f" selection="f" grouping="f" rotation="f" cropping="f" text="f" aspectratio="f"/>
            <v:shape id="流程图: 终止 1026" o:spid="_x0000_s1027" o:spt="116" type="#_x0000_t116" style="position:absolute;left:1943;top:2897;height:1172;width:1724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圆角矩形 1027" o:spid="_x0000_s1028" o:spt="2" style="position:absolute;left:7495;top:3918;height:674;width:2929;" fillcolor="#FFFFFF" filled="t" o:preferrelative="t" stroked="t" coordsize="21600,21600" arcsize="0.166666666666667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圆角矩形 1028" o:spid="_x0000_s1029" o:spt="2" style="position:absolute;left:4839;top:5537;height:871;width:5362;" fillcolor="#FFFFFF" filled="t" o:preferrelative="t" stroked="t" coordsize="21600,21600" arcsize="0.166666666666667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圆角矩形 1029" o:spid="_x0000_s1030" o:spt="2" style="position:absolute;left:4839;top:6684;height:630;width:5362;" fillcolor="#FFFFFF" filled="t" o:preferrelative="t" stroked="t" coordsize="21600,21600" arcsize="0.166666666666667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直接连接符 1030" o:spid="_x0000_s1031" o:spt="32" type="#_x0000_t32" style="position:absolute;left:2835;top:4069;height:1468;width:17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1" o:spid="_x0000_s1032" o:spt="32" type="#_x0000_t32" style="position:absolute;left:3667;top:6084;height:0;width:1172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2" o:spid="_x0000_s1033" o:spt="32" type="#_x0000_t32" style="position:absolute;left:3667;top:6894;height:0;width:1172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3" o:spid="_x0000_s1034" o:spt="32" type="#_x0000_t32" style="position:absolute;left:8707;top:4642;flip:y;height:895;width:1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直接连接符 1034" o:spid="_x0000_s1035" o:spt="32" type="#_x0000_t32" style="position:absolute;left:2852;top:4275;flip:x;height:1;width:4643;" fillcolor="#FFFFFF" filled="t" o:preferrelative="t" stroked="t" coordsize="21600,21600">
              <v:path arrowok="t"/>
              <v:fill on="t" focussize="0,0"/>
              <v:stroke color="#000000" color2="#FFFFFF" opacity="65536f" miterlimit="2" endarrow="block"/>
              <v:imagedata gain="65536f" blacklevel="0f" gamma="0" o:title=""/>
              <o:lock v:ext="edit" position="f" selection="f" grouping="f" rotation="f" cropping="f" text="f" aspectratio="f"/>
            </v:shape>
            <v:shape id="流程图: 决策 1035" o:spid="_x0000_s1036" o:spt="110" type="#_x0000_t110" style="position:absolute;left:1363;top:5537;height:1883;width:2910;" fillcolor="#FFFFFF" filled="t" o:preferrelative="t" stroked="t" coordsize="21600,21600">
              <v:path/>
              <v:fill on="t" focussize="0,0"/>
              <v:stroke color="#000000" color2="#FFFFFF" opacity="65536f" miterlimit="2"/>
              <v:imagedata gain="65536f" blacklevel="0f" gamma="0" o:title="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8C7DE"/>
    <w:multiLevelType w:val="singleLevel"/>
    <w:tmpl w:val="6628C7DE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50102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  <o:rules v:ext="edit">
        <o:r id="V:Rule1" type="connector" idref="#直接连接符 1030"/>
        <o:r id="V:Rule2" type="connector" idref="#直接连接符 1031"/>
        <o:r id="V:Rule3" type="connector" idref="#直接连接符 1032"/>
        <o:r id="V:Rule4" type="connector" idref="#直接连接符 1033"/>
        <o:r id="V:Rule5" type="connector" idref="#直接连接符 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qFormat="1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37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qFormat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qFormat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3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5">
    <w:name w:val="Hyperlink"/>
    <w:basedOn w:val="14"/>
    <w:unhideWhenUsed/>
    <w:qFormat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4"/>
    <w:unhideWhenUsed/>
    <w:qFormat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character" w:customStyle="1" w:styleId="18">
    <w:name w:val="脚注文本 Char"/>
    <w:basedOn w:val="14"/>
    <w:semiHidden/>
    <w:qFormat/>
    <w:uiPriority w:val="99"/>
    <w:rPr>
      <w:kern w:val="2"/>
      <w:sz w:val="18"/>
      <w:szCs w:val="18"/>
    </w:rPr>
  </w:style>
  <w:style w:type="paragraph" w:customStyle="1" w:styleId="19">
    <w:name w:val="列出段落1"/>
    <w:basedOn w:val="1"/>
    <w:qFormat/>
    <w:uiPriority w:val="34"/>
    <w:pPr>
      <w:ind w:firstLine="420" w:firstLineChars="200"/>
    </w:pPr>
  </w:style>
  <w:style w:type="paragraph" w:customStyle="1" w:styleId="2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1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3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4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5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6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7">
    <w:name w:val="页眉 Char Char"/>
    <w:basedOn w:val="14"/>
    <w:link w:val="9"/>
    <w:qFormat/>
    <w:uiPriority w:val="99"/>
    <w:rPr>
      <w:sz w:val="18"/>
      <w:szCs w:val="18"/>
    </w:rPr>
  </w:style>
  <w:style w:type="character" w:customStyle="1" w:styleId="28">
    <w:name w:val="页脚 Char Char"/>
    <w:basedOn w:val="14"/>
    <w:link w:val="8"/>
    <w:qFormat/>
    <w:uiPriority w:val="99"/>
    <w:rPr>
      <w:sz w:val="18"/>
      <w:szCs w:val="18"/>
    </w:rPr>
  </w:style>
  <w:style w:type="character" w:customStyle="1" w:styleId="29">
    <w:name w:val="批注框文本 Char Char"/>
    <w:basedOn w:val="14"/>
    <w:link w:val="7"/>
    <w:qFormat/>
    <w:uiPriority w:val="0"/>
    <w:rPr>
      <w:sz w:val="18"/>
      <w:szCs w:val="18"/>
    </w:rPr>
  </w:style>
  <w:style w:type="character" w:customStyle="1" w:styleId="30">
    <w:name w:val="HTML 预设格式 Char Char"/>
    <w:basedOn w:val="14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4"/>
    <w:link w:val="6"/>
    <w:qFormat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4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4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4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4"/>
    <w:link w:val="10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4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4"/>
    <w:semiHidden/>
    <w:qFormat/>
    <w:uiPriority w:val="99"/>
    <w:rPr>
      <w:kern w:val="2"/>
      <w:sz w:val="21"/>
      <w:szCs w:val="22"/>
    </w:rPr>
  </w:style>
  <w:style w:type="character" w:customStyle="1" w:styleId="39">
    <w:name w:val="明显强调1"/>
    <w:basedOn w:val="14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4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 textRotate="1"/>
    <customShpInfo spid="_x0000_s1032" textRotate="1"/>
    <customShpInfo spid="_x0000_s1033" textRotate="1"/>
    <customShpInfo spid="_x0000_s1034" textRotate="1"/>
    <customShpInfo spid="_x0000_s1035" textRotate="1"/>
    <customShpInfo spid="_x0000_s1036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0</cp:lastModifiedBy>
  <cp:lastPrinted>2020-09-23T02:38:00Z</cp:lastPrinted>
  <dcterms:modified xsi:type="dcterms:W3CDTF">2022-05-23T08:54:59Z</dcterms:modified>
  <dc:title>编号：57016               _x0001_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F316E3FC9C55403894A28BD5F7D6AD55</vt:lpwstr>
  </property>
</Properties>
</file>