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Default ContentType="image/jpeg" Extension="jpe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right="300"/>
        <w:rPr>
          <w:rFonts w:ascii="Times New Roman" w:hAnsi="Times New Roman" w:eastAsia="黑体" w:cs="Times New Roman"/>
          <w:sz w:val="48"/>
          <w:szCs w:val="48"/>
        </w:rPr>
      </w:pPr>
      <w:r>
        <w:rPr>
          <w:rFonts w:ascii="Times New Roman" w:hAnsi="Times New Roman" w:eastAsia="黑体" w:cs="Times New Roman"/>
          <w:sz w:val="48"/>
          <w:szCs w:val="48"/>
        </w:rPr>
        <w:t>编号：57016</w:t>
      </w:r>
      <w:r>
        <w:rPr>
          <w:rFonts w:hint="eastAsia" w:ascii="Times New Roman" w:hAnsi="Times New Roman" w:eastAsia="黑体" w:cs="Times New Roman"/>
          <w:sz w:val="48"/>
          <w:szCs w:val="48"/>
        </w:rPr>
        <w:t xml:space="preserve">               </w:t>
      </w:r>
      <w:r>
        <w:rPr>
          <w:rFonts w:ascii="Times New Roman" w:hAnsi="Times New Roman" w:eastAsia="黑体" w:cs="Times New Roman"/>
          <w:kern w:val="2"/>
          <w:sz w:val="48"/>
          <w:szCs w:val="48"/>
          <w:lang w:val="en-US" w:eastAsia="zh-CN" w:bidi="ar-SA"/>
        </w:rPr>
        <w:pict>
          <v:shape id="图片 1" o:spid="_x0000_s1026" type="#_x0000_t75" style="height:69.75pt;width:87.05pt;rotation:0f;" o:ole="f"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w:pic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“外币现钞提取、调运和携带出境审核”行政审批服务指南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发布日期：20</w:t>
      </w:r>
      <w:r>
        <w:rPr>
          <w:rFonts w:hint="eastAsia" w:ascii="Times New Roman" w:hAnsi="Times New Roman" w:eastAsia="仿宋_GB2312" w:cs="Times New Roman"/>
          <w:sz w:val="30"/>
          <w:szCs w:val="30"/>
        </w:rPr>
        <w:t>2</w:t>
      </w:r>
      <w:r>
        <w:rPr>
          <w:rFonts w:hint="eastAsia" w:ascii="Times New Roman" w:hAnsi="Times New Roman" w:eastAsia="仿宋_GB2312" w:cs="Times New Roman"/>
          <w:sz w:val="30"/>
          <w:szCs w:val="30"/>
          <w:lang w:val="en-US" w:eastAsia="zh-CN"/>
        </w:rPr>
        <w:t>1</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lang w:val="en-US" w:eastAsia="zh-CN"/>
        </w:rPr>
        <w:t>11</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2</w:t>
      </w:r>
      <w:bookmarkStart w:id="0" w:name="_GoBack"/>
      <w:bookmarkEnd w:id="0"/>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发布机构：国家外汇管理局</w:t>
      </w:r>
      <w:r>
        <w:rPr>
          <w:rFonts w:hint="eastAsia" w:ascii="Times New Roman" w:hAnsi="Times New Roman" w:eastAsia="仿宋_GB2312" w:cs="Times New Roman"/>
          <w:sz w:val="30"/>
          <w:szCs w:val="30"/>
          <w:lang w:eastAsia="zh-CN"/>
        </w:rPr>
        <w:t>广东省分局</w:t>
      </w:r>
    </w:p>
    <w:p>
      <w:pPr>
        <w:ind w:right="300"/>
        <w:rPr>
          <w:rFonts w:ascii="仿宋_GB2312" w:hAnsi="Times New Roman" w:eastAsia="仿宋_GB2312" w:cs="Times New Roman"/>
          <w:sz w:val="30"/>
          <w:szCs w:val="30"/>
        </w:rPr>
      </w:pPr>
    </w:p>
    <w:p>
      <w:pPr>
        <w:ind w:right="300"/>
        <w:jc w:val="left"/>
        <w:rPr>
          <w:rFonts w:ascii="Times New Roman" w:hAnsi="Times New Roman" w:eastAsia="黑体" w:cs="Times New Roman"/>
          <w:sz w:val="48"/>
          <w:szCs w:val="48"/>
        </w:rPr>
        <w:sectPr>
          <w:footerReference r:id="rId4" w:type="default"/>
          <w:pgSz w:w="11906" w:h="16838"/>
          <w:pgMar w:top="1440" w:right="1800" w:bottom="1440" w:left="1800" w:header="851" w:footer="992" w:gutter="0"/>
          <w:cols w:space="720" w:num="1"/>
          <w:titlePg/>
          <w:docGrid w:type="lines" w:linePitch="312" w:charSpace="0"/>
        </w:sectPr>
      </w:pPr>
    </w:p>
    <w:p>
      <w:pPr>
        <w:adjustRightInd w:val="0"/>
        <w:snapToGrid w:val="0"/>
        <w:spacing w:line="360" w:lineRule="auto"/>
        <w:ind w:firstLine="600" w:firstLineChars="200"/>
        <w:jc w:val="left"/>
        <w:rPr>
          <w:rFonts w:ascii="Times New Roman" w:hAnsi="Times New Roman" w:eastAsia="黑体" w:cs="Times New Roman"/>
          <w:sz w:val="30"/>
          <w:szCs w:val="30"/>
        </w:rPr>
      </w:pPr>
      <w:r>
        <w:rPr>
          <w:rFonts w:ascii="Times New Roman" w:hAnsi="Times New Roman" w:eastAsia="黑体" w:cs="Times New Roman"/>
          <w:sz w:val="30"/>
          <w:szCs w:val="30"/>
        </w:rPr>
        <w:t>一、项目信息</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项目名称：外币现钞提取、调运和携带出境审核；</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项目编号：57016；</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本指南适用于“外币现钞提取、调运和携带出境审核”的申请和办理。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（一）《中华人民共和国外汇管理条例》（国务院令第532号）第十五条：“携带、申报外币现钞出入境的限额，由国务院外汇管理部门规定”；</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（二）《国务院对确需保留的行政审批项目设定行政许可的决定》（国务院令第412号）附件第495项“机构单笔提取超过规定金额外币现钞审批”。</w:t>
      </w:r>
    </w:p>
    <w:p>
      <w:pPr>
        <w:adjustRightInd w:val="0"/>
        <w:snapToGrid w:val="0"/>
        <w:spacing w:line="360" w:lineRule="auto"/>
        <w:ind w:firstLine="450" w:firstLineChars="150"/>
        <w:rPr>
          <w:rFonts w:ascii="Times New Roman" w:hAnsi="Times New Roman" w:eastAsia="黑体" w:cs="Times New Roman"/>
          <w:sz w:val="30"/>
          <w:szCs w:val="30"/>
        </w:rPr>
      </w:pPr>
      <w:r>
        <w:rPr>
          <w:rFonts w:ascii="Times New Roman" w:hAnsi="Times New Roman" w:eastAsia="黑体" w:cs="Times New Roman"/>
          <w:sz w:val="30"/>
          <w:szCs w:val="30"/>
        </w:rPr>
        <w:t>四、</w:t>
      </w:r>
      <w:r>
        <w:rPr>
          <w:rFonts w:hint="eastAsia" w:ascii="Times New Roman" w:hAnsi="Times New Roman" w:eastAsia="黑体" w:cs="Times New Roman"/>
          <w:sz w:val="30"/>
          <w:szCs w:val="30"/>
        </w:rPr>
        <w:t>服务贸易项下</w:t>
      </w:r>
      <w:r>
        <w:rPr>
          <w:rFonts w:ascii="Times New Roman" w:hAnsi="Times New Roman" w:eastAsia="黑体" w:cs="Times New Roman"/>
          <w:sz w:val="30"/>
          <w:szCs w:val="30"/>
        </w:rPr>
        <w:t>外币现钞提取审批</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1.</w:t>
      </w:r>
      <w:r>
        <w:rPr>
          <w:rFonts w:ascii="Times New Roman" w:hAnsi="Times New Roman" w:eastAsia="仿宋_GB2312" w:cs="Times New Roman"/>
          <w:sz w:val="30"/>
          <w:szCs w:val="30"/>
        </w:rPr>
        <w:t>《国家外汇管理局关于印发〈</w:t>
      </w:r>
      <w:r>
        <w:rPr>
          <w:rFonts w:hint="eastAsia" w:ascii="Times New Roman" w:hAnsi="Times New Roman" w:eastAsia="仿宋_GB2312" w:cs="Times New Roman"/>
          <w:sz w:val="30"/>
          <w:szCs w:val="30"/>
        </w:rPr>
        <w:t>经常项目外汇业务指引（2020年版）</w:t>
      </w:r>
      <w:r>
        <w:rPr>
          <w:rFonts w:ascii="Times New Roman" w:hAnsi="Times New Roman" w:eastAsia="仿宋_GB2312" w:cs="Times New Roman"/>
          <w:sz w:val="30"/>
          <w:szCs w:val="30"/>
        </w:rPr>
        <w:t>〉的通知》（汇发</w:t>
      </w:r>
      <w:r>
        <w:rPr>
          <w:rFonts w:hint="eastAsia" w:ascii="仿宋_GB2312" w:hAnsi="Times New Roman" w:eastAsia="仿宋_GB2312" w:cs="Times New Roman"/>
          <w:sz w:val="30"/>
          <w:szCs w:val="30"/>
        </w:rPr>
        <w:t>〔</w:t>
      </w:r>
      <w:r>
        <w:rPr>
          <w:rFonts w:hint="eastAsia" w:ascii="Times New Roman" w:hAnsi="Times New Roman" w:eastAsia="仿宋_GB2312" w:cs="Times New Roman"/>
          <w:sz w:val="30"/>
          <w:szCs w:val="30"/>
        </w:rPr>
        <w:t>2020</w:t>
      </w:r>
      <w:r>
        <w:rPr>
          <w:rFonts w:hint="eastAsia" w:ascii="仿宋_GB2312" w:hAnsi="Times New Roman" w:eastAsia="仿宋_GB2312" w:cs="Times New Roman"/>
          <w:sz w:val="30"/>
          <w:szCs w:val="30"/>
        </w:rPr>
        <w:t>〕</w:t>
      </w:r>
      <w:r>
        <w:rPr>
          <w:rFonts w:hint="eastAsia" w:ascii="Times New Roman" w:hAnsi="Times New Roman" w:eastAsia="仿宋_GB2312" w:cs="Times New Roman"/>
          <w:sz w:val="30"/>
          <w:szCs w:val="30"/>
        </w:rPr>
        <w:t>14号</w:t>
      </w: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rPr>
        <w:t>。</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仿宋_GB2312" w:cs="Times New Roman"/>
          <w:sz w:val="30"/>
          <w:szCs w:val="30"/>
        </w:rPr>
        <w:t>申请人注册所在地国家外汇管理局分支局。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（三）决定机构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申请人注册所在地国家外汇管理局分支局。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申请人为境内机构，有提取外币现钞交易的真实性</w:t>
      </w:r>
      <w:r>
        <w:rPr>
          <w:rFonts w:hint="eastAsia" w:ascii="Times New Roman" w:hAnsi="Times New Roman" w:eastAsia="仿宋_GB2312" w:cs="Times New Roman"/>
          <w:sz w:val="30"/>
          <w:szCs w:val="30"/>
        </w:rPr>
        <w:t>、合法性</w:t>
      </w:r>
      <w:r>
        <w:rPr>
          <w:rFonts w:ascii="Times New Roman" w:hAnsi="Times New Roman" w:eastAsia="仿宋_GB2312" w:cs="Times New Roman"/>
          <w:sz w:val="30"/>
          <w:szCs w:val="30"/>
        </w:rPr>
        <w:t>和必要性。</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禁止性要求：申请材料不齐全，不符合法规规定。</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rPr>
        <w:t>（六）申请材料</w:t>
      </w:r>
    </w:p>
    <w:tbl>
      <w:tblPr>
        <w:tblStyle w:val="18"/>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2770"/>
        <w:gridCol w:w="1134"/>
        <w:gridCol w:w="992"/>
        <w:gridCol w:w="1134"/>
        <w:gridCol w:w="1669"/>
        <w:gridCol w:w="4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2770"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13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9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113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电子</w:t>
            </w:r>
          </w:p>
        </w:tc>
        <w:tc>
          <w:tcPr>
            <w:tcW w:w="166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2770" w:type="dxa"/>
            <w:vAlign w:val="center"/>
          </w:tcPr>
          <w:p>
            <w:pPr>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交易真实性、合法性和必要性的说明材料</w:t>
            </w:r>
          </w:p>
        </w:tc>
        <w:tc>
          <w:tcPr>
            <w:tcW w:w="11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原件和加盖企业公章的复印件</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各1份</w:t>
            </w:r>
          </w:p>
        </w:tc>
        <w:tc>
          <w:tcPr>
            <w:tcW w:w="11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hint="eastAsia" w:ascii="Times New Roman" w:hAnsi="Times New Roman" w:eastAsia="仿宋_GB2312" w:cs="Times New Roman"/>
                <w:sz w:val="24"/>
                <w:szCs w:val="24"/>
              </w:rPr>
              <w:t>/</w:t>
            </w:r>
          </w:p>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电子</w:t>
            </w:r>
          </w:p>
        </w:tc>
        <w:tc>
          <w:tcPr>
            <w:tcW w:w="166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如申请人需保留原件，原件验后退申请人</w:t>
            </w:r>
          </w:p>
        </w:tc>
        <w:tc>
          <w:tcPr>
            <w:tcW w:w="457" w:type="dxa"/>
            <w:vAlign w:val="top"/>
          </w:tcPr>
          <w:p>
            <w:pPr>
              <w:rPr>
                <w:rFonts w:ascii="Times New Roman" w:hAnsi="Times New Roman" w:eastAsia="仿宋_GB2312" w:cs="Times New Roman"/>
                <w:sz w:val="24"/>
                <w:szCs w:val="24"/>
              </w:rPr>
            </w:pPr>
          </w:p>
        </w:tc>
      </w:tr>
    </w:tbl>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申请人可通过国家外汇管理局分支局窗口提交材料。</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1.申请人提交申请；</w:t>
      </w:r>
    </w:p>
    <w:p>
      <w:pPr>
        <w:adjustRightInd w:val="0"/>
        <w:snapToGrid w:val="0"/>
        <w:spacing w:line="360" w:lineRule="auto"/>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2.决定是否予以受理；</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3.不予受理的，出具不予受理通知书；受理的，出具受理通知书，审核作出</w:t>
      </w:r>
      <w:r>
        <w:rPr>
          <w:rFonts w:hint="eastAsia" w:ascii="Times New Roman" w:hAnsi="Times New Roman" w:eastAsia="仿宋_GB2312" w:cs="Times New Roman"/>
          <w:sz w:val="30"/>
          <w:szCs w:val="30"/>
        </w:rPr>
        <w:t>核</w:t>
      </w:r>
      <w:r>
        <w:rPr>
          <w:rFonts w:ascii="Times New Roman" w:hAnsi="Times New Roman" w:eastAsia="仿宋_GB2312" w:cs="Times New Roman"/>
          <w:sz w:val="30"/>
          <w:szCs w:val="30"/>
        </w:rPr>
        <w:t>准或者不予</w:t>
      </w:r>
      <w:r>
        <w:rPr>
          <w:rFonts w:hint="eastAsia" w:ascii="Times New Roman" w:hAnsi="Times New Roman" w:eastAsia="仿宋_GB2312" w:cs="Times New Roman"/>
          <w:sz w:val="30"/>
          <w:szCs w:val="30"/>
        </w:rPr>
        <w:t>核</w:t>
      </w:r>
      <w:r>
        <w:rPr>
          <w:rFonts w:ascii="Times New Roman" w:hAnsi="Times New Roman" w:eastAsia="仿宋_GB2312" w:cs="Times New Roman"/>
          <w:sz w:val="30"/>
          <w:szCs w:val="30"/>
        </w:rPr>
        <w:t>准的决定；</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4.对于符合规定条件予以</w:t>
      </w:r>
      <w:r>
        <w:rPr>
          <w:rFonts w:hint="eastAsia" w:ascii="Times New Roman" w:hAnsi="Times New Roman" w:eastAsia="仿宋_GB2312" w:cs="Times New Roman"/>
          <w:sz w:val="30"/>
          <w:szCs w:val="30"/>
        </w:rPr>
        <w:t>核</w:t>
      </w:r>
      <w:r>
        <w:rPr>
          <w:rFonts w:ascii="Times New Roman" w:hAnsi="Times New Roman" w:eastAsia="仿宋_GB2312" w:cs="Times New Roman"/>
          <w:sz w:val="30"/>
          <w:szCs w:val="30"/>
        </w:rPr>
        <w:t>准的，向申请人出具</w:t>
      </w:r>
      <w:r>
        <w:rPr>
          <w:rFonts w:hint="eastAsia" w:ascii="Times New Roman" w:hAnsi="Times New Roman" w:eastAsia="仿宋_GB2312" w:cs="Times New Roman"/>
          <w:sz w:val="30"/>
          <w:szCs w:val="30"/>
        </w:rPr>
        <w:t>核</w:t>
      </w:r>
      <w:r>
        <w:rPr>
          <w:rFonts w:ascii="Times New Roman" w:hAnsi="Times New Roman" w:eastAsia="仿宋_GB2312" w:cs="Times New Roman"/>
          <w:sz w:val="30"/>
          <w:szCs w:val="30"/>
        </w:rPr>
        <w:t>准文件；不予</w:t>
      </w:r>
      <w:r>
        <w:rPr>
          <w:rFonts w:hint="eastAsia" w:ascii="Times New Roman" w:hAnsi="Times New Roman" w:eastAsia="仿宋_GB2312" w:cs="Times New Roman"/>
          <w:sz w:val="30"/>
          <w:szCs w:val="30"/>
        </w:rPr>
        <w:t>核</w:t>
      </w:r>
      <w:r>
        <w:rPr>
          <w:rFonts w:ascii="Times New Roman" w:hAnsi="Times New Roman" w:eastAsia="仿宋_GB2312" w:cs="Times New Roman"/>
          <w:sz w:val="30"/>
          <w:szCs w:val="30"/>
        </w:rPr>
        <w:t>准的，做出不予</w:t>
      </w:r>
      <w:r>
        <w:rPr>
          <w:rFonts w:hint="eastAsia" w:ascii="Times New Roman" w:hAnsi="Times New Roman" w:eastAsia="仿宋_GB2312" w:cs="Times New Roman"/>
          <w:sz w:val="30"/>
          <w:szCs w:val="30"/>
        </w:rPr>
        <w:t>核</w:t>
      </w:r>
      <w:r>
        <w:rPr>
          <w:rFonts w:ascii="Times New Roman" w:hAnsi="Times New Roman" w:eastAsia="仿宋_GB2312" w:cs="Times New Roman"/>
          <w:sz w:val="30"/>
          <w:szCs w:val="30"/>
        </w:rPr>
        <w:t>准的行政许可书面决定并说明理由；</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5.材料不全或不符合法定形式的，一次性告知补正材料，并出具《行政许可补正通知书》</w:t>
      </w:r>
      <w:r>
        <w:rPr>
          <w:rFonts w:hint="eastAsia" w:ascii="Times New Roman" w:hAnsi="Times New Roman" w:eastAsia="仿宋_GB2312" w:cs="Times New Roman"/>
          <w:sz w:val="30"/>
          <w:szCs w:val="30"/>
        </w:rPr>
        <w:t>。</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申请、受理、审查、决定、出具</w:t>
      </w:r>
      <w:r>
        <w:rPr>
          <w:rFonts w:hint="eastAsia" w:ascii="Times New Roman" w:hAnsi="Times New Roman" w:eastAsia="仿宋_GB2312" w:cs="Times New Roman"/>
          <w:sz w:val="30"/>
          <w:szCs w:val="30"/>
        </w:rPr>
        <w:t>核</w:t>
      </w:r>
      <w:r>
        <w:rPr>
          <w:rFonts w:ascii="Times New Roman" w:hAnsi="Times New Roman" w:eastAsia="仿宋_GB2312" w:cs="Times New Roman"/>
          <w:sz w:val="30"/>
          <w:szCs w:val="30"/>
        </w:rPr>
        <w:t>准文件或不予</w:t>
      </w:r>
      <w:r>
        <w:rPr>
          <w:rFonts w:hint="eastAsia" w:ascii="Times New Roman" w:hAnsi="Times New Roman" w:eastAsia="仿宋_GB2312" w:cs="Times New Roman"/>
          <w:sz w:val="30"/>
          <w:szCs w:val="30"/>
        </w:rPr>
        <w:t>核</w:t>
      </w:r>
      <w:r>
        <w:rPr>
          <w:rFonts w:ascii="Times New Roman" w:hAnsi="Times New Roman" w:eastAsia="仿宋_GB2312" w:cs="Times New Roman"/>
          <w:sz w:val="30"/>
          <w:szCs w:val="30"/>
        </w:rPr>
        <w:t>准的行政许可书面决定。</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20个工作日。</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（十一）审批收费依据及标准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（十二）审批结果</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核</w:t>
      </w:r>
      <w:r>
        <w:rPr>
          <w:rFonts w:ascii="Times New Roman" w:hAnsi="Times New Roman" w:eastAsia="仿宋_GB2312" w:cs="Times New Roman"/>
          <w:sz w:val="30"/>
          <w:szCs w:val="30"/>
        </w:rPr>
        <w:t>准文件。</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通过现场告知或电话通知申请人，并通过现场领取或邮寄方式将结果送达。</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（十四）申请人权利和义务</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申请人有权依法提出行政审批申请，依法进行投诉、举报、复议、诉讼等。申请人有义务保证申请材料完整、真实、准确，获批后合法合规办理相关业务。</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（十五）咨询途径、监督和投诉、公开查询等由所在地分支局办理</w:t>
      </w:r>
    </w:p>
    <w:p>
      <w:pPr>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（一）咨询途径</w:t>
      </w:r>
    </w:p>
    <w:p>
      <w:pPr>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国家外汇管理局广东省分局</w:t>
      </w:r>
      <w:r>
        <w:rPr>
          <w:rFonts w:hint="eastAsia" w:ascii="Times New Roman" w:hAnsi="Times New Roman" w:eastAsia="仿宋_GB2312" w:cs="Times New Roman"/>
          <w:sz w:val="30"/>
          <w:szCs w:val="30"/>
          <w:lang w:eastAsia="zh-CN"/>
        </w:rPr>
        <w:t>咨询电话</w:t>
      </w:r>
      <w:r>
        <w:rPr>
          <w:rFonts w:hint="eastAsia" w:ascii="Times New Roman" w:hAnsi="Times New Roman" w:eastAsia="仿宋_GB2312" w:cs="Times New Roman"/>
          <w:sz w:val="30"/>
          <w:szCs w:val="30"/>
          <w:lang w:val="en-US" w:eastAsia="zh-CN"/>
        </w:rPr>
        <w:t>：020-81840799</w:t>
      </w:r>
    </w:p>
    <w:p>
      <w:pPr>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国家外汇管理局广东省分局辖内各中心支局的外汇业务咨询电话可通过网址（www.safe.gov.cn/guangdong）查询。</w:t>
      </w:r>
    </w:p>
    <w:p>
      <w:pPr>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国家外汇管理局广东省分局网址：www.safe.gov.cn/guangdong</w:t>
      </w:r>
    </w:p>
    <w:p>
      <w:pPr>
        <w:numPr>
          <w:ilvl w:val="0"/>
          <w:numId w:val="1"/>
        </w:numPr>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办理进程和结果公开查询</w:t>
      </w:r>
    </w:p>
    <w:p>
      <w:pPr>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向国家外汇管理局广东省分局或辖内中心支局咨询、进度查询等可通过电话、国家外汇管理局广东省分局官方互联网站公众交流栏目进行。网址为www.safe.gov.cn/guangdong。</w:t>
      </w:r>
    </w:p>
    <w:p>
      <w:pPr>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国家外汇管理局广东省分局</w:t>
      </w:r>
      <w:r>
        <w:rPr>
          <w:rFonts w:hint="eastAsia" w:ascii="Times New Roman" w:hAnsi="Times New Roman" w:eastAsia="仿宋_GB2312" w:cs="Times New Roman"/>
          <w:sz w:val="30"/>
          <w:szCs w:val="30"/>
          <w:lang w:eastAsia="zh-CN"/>
        </w:rPr>
        <w:t>咨询电话</w:t>
      </w:r>
      <w:r>
        <w:rPr>
          <w:rFonts w:hint="eastAsia" w:ascii="Times New Roman" w:hAnsi="Times New Roman" w:eastAsia="仿宋_GB2312" w:cs="Times New Roman"/>
          <w:sz w:val="30"/>
          <w:szCs w:val="30"/>
          <w:lang w:val="en-US" w:eastAsia="zh-CN"/>
        </w:rPr>
        <w:t>：020-81840799，辖内各中心支局的咨询电话可通过网址（www.safe.gov.cn/guangdong）查询。</w:t>
      </w:r>
    </w:p>
    <w:p>
      <w:pPr>
        <w:widowControl w:val="0"/>
        <w:numPr>
          <w:numId w:val="0"/>
        </w:numPr>
        <w:ind w:firstLine="600" w:firstLineChars="200"/>
        <w:jc w:val="both"/>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通过国家外汇管理局政务服务网上办理系统提交申请的，可在该系统内进行查询。</w:t>
      </w:r>
    </w:p>
    <w:p>
      <w:pPr>
        <w:numPr>
          <w:ilvl w:val="0"/>
          <w:numId w:val="1"/>
        </w:numPr>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监督投诉渠道</w:t>
      </w:r>
    </w:p>
    <w:p>
      <w:pPr>
        <w:widowControl w:val="0"/>
        <w:numPr>
          <w:numId w:val="0"/>
        </w:numPr>
        <w:ind w:firstLine="600" w:firstLineChars="200"/>
        <w:jc w:val="both"/>
        <w:rPr>
          <w:rFonts w:hint="eastAsia" w:ascii="Times New Roman" w:hAnsi="Times New Roman" w:eastAsia="仿宋_GB2312" w:cs="Times New Roman"/>
          <w:sz w:val="30"/>
          <w:szCs w:val="30"/>
          <w:lang w:val="en-US" w:eastAsia="zh-CN"/>
        </w:rPr>
      </w:pPr>
      <w:r>
        <w:rPr>
          <w:rFonts w:ascii="Times New Roman" w:hAnsi="Times New Roman" w:eastAsia="仿宋_GB2312" w:cs="Times New Roman"/>
          <w:sz w:val="30"/>
          <w:szCs w:val="30"/>
        </w:rPr>
        <w:t>向国家外汇管理局咨询、监督投诉等可通过国家外汇管理局官方互联网站公众交流栏目进行。网址为</w:t>
      </w:r>
      <w:r>
        <w:rPr>
          <w:color w:val="auto"/>
        </w:rPr>
        <w:fldChar w:fldCharType="begin"/>
      </w:r>
      <w:r>
        <w:rPr>
          <w:color w:val="auto"/>
        </w:rPr>
        <w:instrText xml:space="preserve"> HYPERLINK "http://www.safe.gov.cn" </w:instrText>
      </w:r>
      <w:r>
        <w:rPr>
          <w:color w:val="auto"/>
        </w:rPr>
        <w:fldChar w:fldCharType="separate"/>
      </w:r>
      <w:r>
        <w:rPr>
          <w:rStyle w:val="14"/>
          <w:rFonts w:ascii="Times New Roman" w:hAnsi="Times New Roman" w:eastAsia="仿宋_GB2312" w:cs="Times New Roman"/>
          <w:color w:val="auto"/>
          <w:sz w:val="30"/>
          <w:szCs w:val="30"/>
        </w:rPr>
        <w:t>www.safe.gov.cn</w:t>
      </w:r>
      <w:r>
        <w:rPr>
          <w:rStyle w:val="14"/>
          <w:rFonts w:ascii="Times New Roman" w:hAnsi="Times New Roman" w:eastAsia="仿宋_GB2312" w:cs="Times New Roman"/>
          <w:color w:val="auto"/>
          <w:sz w:val="30"/>
          <w:szCs w:val="30"/>
        </w:rPr>
        <w:fldChar w:fldCharType="end"/>
      </w:r>
      <w:r>
        <w:rPr>
          <w:rFonts w:ascii="Times New Roman" w:hAnsi="Times New Roman" w:eastAsia="仿宋_GB2312" w:cs="Times New Roman"/>
          <w:color w:val="auto"/>
          <w:sz w:val="30"/>
          <w:szCs w:val="30"/>
        </w:rPr>
        <w:t>。</w:t>
      </w:r>
    </w:p>
    <w:p>
      <w:pPr>
        <w:numPr>
          <w:numId w:val="0"/>
        </w:numPr>
        <w:ind w:firstLine="600" w:firstLineChars="2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向国家外汇管理局广东省分局或辖内中心支局监督和投诉等可通过电话、国家外汇管理局广东省分局官方互联网站公众交流栏目进行。</w:t>
      </w:r>
    </w:p>
    <w:p>
      <w:pPr>
        <w:numPr>
          <w:numId w:val="0"/>
        </w:numPr>
        <w:ind w:firstLine="600" w:firstLineChars="2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电话：020-81322244或辖内各中心支局的投诉电话</w:t>
      </w:r>
    </w:p>
    <w:p>
      <w:pPr>
        <w:numPr>
          <w:numId w:val="0"/>
        </w:numPr>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网址：www.safe.gov.cn/guangdong</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rPr>
        <w:t>（十六）事项审查类型</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前审后批。</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rPr>
        <w:t>（十七）办公地址和时间</w:t>
      </w:r>
    </w:p>
    <w:p>
      <w:pPr>
        <w:ind w:firstLine="600" w:firstLineChars="2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国家外汇管理局广东省分局办公地址：广州市沿江西路137号</w:t>
      </w:r>
    </w:p>
    <w:p>
      <w:pPr>
        <w:adjustRightInd w:val="0"/>
        <w:snapToGrid w:val="0"/>
        <w:spacing w:line="360" w:lineRule="auto"/>
        <w:ind w:firstLine="600" w:firstLineChars="2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国家外汇管理局广东省分局办公时间：工作日上午8:30-12:00、下午14:00-17:30</w:t>
      </w:r>
    </w:p>
    <w:p>
      <w:pPr>
        <w:adjustRightInd w:val="0"/>
        <w:snapToGrid w:val="0"/>
        <w:spacing w:line="360" w:lineRule="auto"/>
        <w:ind w:firstLine="600" w:firstLineChars="2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国家外汇管理局广东省分局辖内各中心支局的办公地址和时间可通过网址（www.safe.gov.cn/guangdong）查询。</w:t>
      </w:r>
    </w:p>
    <w:p>
      <w:pPr>
        <w:ind w:right="600" w:firstLine="600" w:firstLineChars="200"/>
        <w:rPr>
          <w:rFonts w:ascii="Times New Roman" w:hAnsi="Times New Roman" w:eastAsia="仿宋_GB2312" w:cs="Times New Roman"/>
          <w:sz w:val="30"/>
          <w:szCs w:val="30"/>
        </w:rPr>
      </w:pPr>
      <w:r>
        <w:rPr>
          <w:rFonts w:hint="eastAsia" w:ascii="Times New Roman" w:hAnsi="Times New Roman" w:eastAsia="黑体" w:cs="Times New Roman"/>
          <w:sz w:val="30"/>
          <w:szCs w:val="30"/>
        </w:rPr>
        <w:t>（十八）常见问题解答</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w:t>
      </w:r>
      <w:r>
        <w:rPr>
          <w:rFonts w:hint="eastAsia" w:ascii="Times New Roman" w:hAnsi="Times New Roman" w:eastAsia="仿宋_GB2312" w:cs="Times New Roman"/>
          <w:sz w:val="30"/>
          <w:szCs w:val="30"/>
        </w:rPr>
        <w:t>受理后几个工作日能办结？</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按照法规要求，正式受理后，</w:t>
      </w:r>
      <w:r>
        <w:rPr>
          <w:rFonts w:ascii="Times New Roman" w:hAnsi="Times New Roman" w:eastAsia="仿宋_GB2312" w:cs="Times New Roman"/>
          <w:sz w:val="30"/>
          <w:szCs w:val="30"/>
        </w:rPr>
        <w:t>20</w:t>
      </w:r>
      <w:r>
        <w:rPr>
          <w:rFonts w:hint="eastAsia" w:ascii="Times New Roman" w:hAnsi="Times New Roman" w:eastAsia="仿宋_GB2312" w:cs="Times New Roman"/>
          <w:sz w:val="30"/>
          <w:szCs w:val="30"/>
        </w:rPr>
        <w:t>个工作日内可以批复。</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rPr>
        <w:t>（十九）常见错误示例</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汇路通畅，但申请提取外币现钞。</w:t>
      </w:r>
    </w:p>
    <w:p>
      <w:pPr>
        <w:ind w:right="300" w:firstLine="600"/>
        <w:rPr>
          <w:rFonts w:ascii="Times New Roman" w:hAnsi="Times New Roman" w:eastAsia="仿宋_GB2312" w:cs="Times New Roman"/>
          <w:sz w:val="30"/>
          <w:szCs w:val="30"/>
        </w:rPr>
        <w:sectPr>
          <w:footerReference r:id="rId5" w:type="default"/>
          <w:pgSz w:w="11906" w:h="16838"/>
          <w:pgMar w:top="1440" w:right="1800" w:bottom="1440" w:left="1600" w:header="851" w:footer="992" w:gutter="0"/>
          <w:cols w:space="720" w:num="1"/>
          <w:docGrid w:type="lines" w:linePitch="312" w:charSpace="0"/>
        </w:sectPr>
      </w:pP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附录</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adjustRightInd w:val="0"/>
        <w:snapToGrid w:val="0"/>
        <w:spacing w:line="360" w:lineRule="auto"/>
        <w:ind w:firstLine="585"/>
      </w:pPr>
      <w:r>
        <w:rPr>
          <w:rFonts w:ascii="Calibri" w:hAnsi="Calibri" w:eastAsia="宋体" w:cs="黑体"/>
          <w:kern w:val="2"/>
          <w:sz w:val="21"/>
          <w:szCs w:val="22"/>
          <w:lang w:val="en-US" w:eastAsia="zh-CN" w:bidi="ar-SA"/>
        </w:rPr>
        <w:pict>
          <v:group id="Group 28" o:spid="_x0000_s1027" style="position:absolute;left:0;margin-left:-37.5pt;margin-top:34.6pt;height:473.85pt;width:461.45pt;rotation:0f;z-index:251658240;" coordorigin="1050,3380" coordsize="9229,9477">
            <o:lock v:ext="edit" position="f" selection="f" grouping="f" rotation="f" cropping="f" text="f" aspectratio="f"/>
            <v:shape id="AutoShape 329" o:spid="_x0000_s1028" type="#_x0000_t32" style="position:absolute;left:2612;top:4552;height:1468;width:17;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330" o:spid="_x0000_s1029" type="#_x0000_t32" style="position:absolute;left:4275;top:5903;height:1;width:564;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331" o:spid="_x0000_s1030" type="#_x0000_t32" style="position:absolute;left:4275;top:6752;height:1;width:564;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332" o:spid="_x0000_s1031" type="#_x0000_t32" style="position:absolute;left:8707;top:5320;flip:y;height:895;width: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333" o:spid="_x0000_s1032" type="#_x0000_t32" style="position:absolute;left:2629;top:5005;flip:x;height:1;width:4643;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334" o:spid="_x0000_s1033" type="#_x0000_t32" style="position:absolute;left:5002;top:9276;height:437;width:0;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335" o:spid="_x0000_s1034" type="#_x0000_t32" style="position:absolute;left:4986;top:11195;height:905;width: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336" o:spid="_x0000_s1035" type="#_x0000_t32" style="position:absolute;left:2627;top:7405;height:1391;width:0;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AutoShape 337" o:spid="_x0000_s1036" type="#_x0000_t32" style="position:absolute;left:2627;top:8811;height:0;width:822;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338" o:spid="_x0000_s1037" type="#_x0000_t110" style="position:absolute;left:1050;top:5387;height:2007;width:3127;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adjustRightInd w:val="0"/>
                      <w:snapToGrid w:val="0"/>
                    </w:pPr>
                    <w:r>
                      <w:rPr>
                        <w:rFonts w:hint="eastAsia"/>
                      </w:rPr>
                      <w:t>接件并于</w:t>
                    </w:r>
                    <w:r>
                      <w:rPr>
                        <w:rFonts w:ascii="Times New Roman" w:hAnsi="Times New Roman" w:cs="Times New Roman"/>
                      </w:rPr>
                      <w:t>5</w:t>
                    </w:r>
                    <w:r>
                      <w:rPr>
                        <w:rFonts w:hint="eastAsia"/>
                      </w:rPr>
                      <w:t>个工作日作出是否受理决定</w:t>
                    </w:r>
                  </w:p>
                </w:txbxContent>
              </v:textbox>
            </v:shape>
            <v:shape id="AutoShape 339" o:spid="_x0000_s1038" type="#_x0000_t32" style="position:absolute;left:4290;top:5933;height:804;width:0;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rect id="Rectangle 341" o:spid="_x0000_s1039" style="position:absolute;left:7272;top:4573;height:720;width:2929;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申请人补全材料</w:t>
                    </w:r>
                  </w:p>
                </w:txbxContent>
              </v:textbox>
            </v:rect>
            <v:shape id="AutoShape 342" o:spid="_x0000_s1040" type="#_x0000_t109" style="position:absolute;left:4839;top:5591;height:587;width:5440;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材料不全或不符合法定形式的，一次性告知补正材料</w:t>
                    </w:r>
                  </w:p>
                </w:txbxContent>
              </v:textbox>
            </v:shape>
            <v:rect id="Rectangle 343" o:spid="_x0000_s1041" style="position:absolute;left:4839;top:6592;height:811;width:544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依法不予受理的，作出不予受理决定，出具不予受理通知书</w:t>
                    </w:r>
                  </w:p>
                </w:txbxContent>
              </v:textbox>
            </v:rect>
            <v:shape id="AutoShape 344" o:spid="_x0000_s1042" type="#_x0000_t109" style="position:absolute;left:3452;top:8461;height:815;width:3227;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依法应予受理的，出具受理单</w:t>
                    </w:r>
                  </w:p>
                </w:txbxContent>
              </v:textbox>
            </v:shape>
            <v:shape id="AutoShape 345" o:spid="_x0000_s1043" type="#_x0000_t110" style="position:absolute;left:3456;top:9713;height:1444;width:306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审查报批</w:t>
                    </w:r>
                  </w:p>
                </w:txbxContent>
              </v:textbox>
            </v:shape>
            <v:shape id="AutoShape 346" o:spid="_x0000_s1044" type="#_x0000_t109" style="position:absolute;left:3452;top:12100;height:757;width:2987;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予以许可的，向申请人出具核准书面决定</w:t>
                    </w:r>
                  </w:p>
                  <w:p/>
                </w:txbxContent>
              </v:textbox>
            </v:shape>
            <v:shape id="AutoShape 347" o:spid="_x0000_s1045" type="#_x0000_t109" style="position:absolute;left:7786;top:10041;height:766;width:2298;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依法作出不予许可决定</w:t>
                    </w:r>
                  </w:p>
                  <w:p/>
                </w:txbxContent>
              </v:textbox>
            </v:shape>
            <v:shape id="AutoShape 348" o:spid="_x0000_s1046" type="#_x0000_t32" style="position:absolute;left:6520;top:10422;flip:y;height:15;width:1266;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349" o:spid="_x0000_s1047" type="#_x0000_t116" style="position:absolute;left:1478;top:3380;height:1172;width:2467;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申请人现场提交材料</w:t>
                    </w:r>
                  </w:p>
                  <w:p/>
                </w:txbxContent>
              </v:textbox>
            </v:shape>
            <v:shape id="Straight Connector 49" o:spid="_x0000_s1048" type="#_x0000_t32" style="position:absolute;left:4177;top:6405;height:0;width:98;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w:pict>
      </w:r>
    </w:p>
    <w:sectPr>
      <w:footerReference r:id="rId6"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ˎ̥">
    <w:altName w:val="Times New Roman"/>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1</w:t>
    </w:r>
    <w:r>
      <w:rPr>
        <w:lang w:val="zh-CN"/>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5</w:t>
    </w:r>
    <w:r>
      <w:rPr>
        <w:lang w:val="zh-CN"/>
      </w:rPr>
      <w:fldChar w:fldCharType="end"/>
    </w:r>
  </w:p>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1</w:t>
    </w:r>
    <w:r>
      <w:rPr>
        <w:lang w:val="zh-CN"/>
      </w:rPr>
      <w:fldChar w:fldCharType="end"/>
    </w:r>
  </w:p>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34631682">
    <w:nsid w:val="616E8002"/>
    <w:multiLevelType w:val="singleLevel"/>
    <w:tmpl w:val="616E8002"/>
    <w:lvl w:ilvl="0" w:tentative="1">
      <w:start w:val="2"/>
      <w:numFmt w:val="chineseCounting"/>
      <w:suff w:val="nothing"/>
      <w:lvlText w:val="（%1）"/>
      <w:lvlJc w:val="left"/>
    </w:lvl>
  </w:abstractNum>
  <w:num w:numId="1">
    <w:abstractNumId w:val="163463168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B131E"/>
    <w:rsid w:val="00003372"/>
    <w:rsid w:val="00007600"/>
    <w:rsid w:val="00022191"/>
    <w:rsid w:val="00023783"/>
    <w:rsid w:val="00041960"/>
    <w:rsid w:val="00042B58"/>
    <w:rsid w:val="00054B00"/>
    <w:rsid w:val="00055270"/>
    <w:rsid w:val="0005585E"/>
    <w:rsid w:val="00057F76"/>
    <w:rsid w:val="00062323"/>
    <w:rsid w:val="00064E9E"/>
    <w:rsid w:val="0006560A"/>
    <w:rsid w:val="00072F8A"/>
    <w:rsid w:val="000750C8"/>
    <w:rsid w:val="00080630"/>
    <w:rsid w:val="00091661"/>
    <w:rsid w:val="00092D53"/>
    <w:rsid w:val="00096CBB"/>
    <w:rsid w:val="00097F7B"/>
    <w:rsid w:val="000B1B41"/>
    <w:rsid w:val="000B6901"/>
    <w:rsid w:val="000B728B"/>
    <w:rsid w:val="000B7932"/>
    <w:rsid w:val="000C15B3"/>
    <w:rsid w:val="000C2B33"/>
    <w:rsid w:val="000D1995"/>
    <w:rsid w:val="000D7478"/>
    <w:rsid w:val="00120DFD"/>
    <w:rsid w:val="0012271F"/>
    <w:rsid w:val="00130519"/>
    <w:rsid w:val="00135BEE"/>
    <w:rsid w:val="0014667A"/>
    <w:rsid w:val="00154B58"/>
    <w:rsid w:val="00157C64"/>
    <w:rsid w:val="00157E81"/>
    <w:rsid w:val="00170126"/>
    <w:rsid w:val="00177059"/>
    <w:rsid w:val="00181D3E"/>
    <w:rsid w:val="00186BC2"/>
    <w:rsid w:val="00196FAE"/>
    <w:rsid w:val="001A3E49"/>
    <w:rsid w:val="001A72AA"/>
    <w:rsid w:val="001A7FB9"/>
    <w:rsid w:val="001B09C8"/>
    <w:rsid w:val="001B1E2C"/>
    <w:rsid w:val="001C44C7"/>
    <w:rsid w:val="001D65A2"/>
    <w:rsid w:val="001E1407"/>
    <w:rsid w:val="001F08A9"/>
    <w:rsid w:val="001F4BD4"/>
    <w:rsid w:val="001F7297"/>
    <w:rsid w:val="00205D07"/>
    <w:rsid w:val="00212F39"/>
    <w:rsid w:val="00217116"/>
    <w:rsid w:val="00231EED"/>
    <w:rsid w:val="00233841"/>
    <w:rsid w:val="002341AF"/>
    <w:rsid w:val="002343C8"/>
    <w:rsid w:val="00235736"/>
    <w:rsid w:val="00235F24"/>
    <w:rsid w:val="002417D2"/>
    <w:rsid w:val="00241FE8"/>
    <w:rsid w:val="0024527E"/>
    <w:rsid w:val="00253F7B"/>
    <w:rsid w:val="00263773"/>
    <w:rsid w:val="00263B1F"/>
    <w:rsid w:val="00281976"/>
    <w:rsid w:val="00291C17"/>
    <w:rsid w:val="0029313A"/>
    <w:rsid w:val="002A668C"/>
    <w:rsid w:val="002B0B1C"/>
    <w:rsid w:val="002B598D"/>
    <w:rsid w:val="002B61C1"/>
    <w:rsid w:val="002B7FB8"/>
    <w:rsid w:val="002E1323"/>
    <w:rsid w:val="002F2D2F"/>
    <w:rsid w:val="002F3868"/>
    <w:rsid w:val="00300EF5"/>
    <w:rsid w:val="00302119"/>
    <w:rsid w:val="00302E87"/>
    <w:rsid w:val="00307F23"/>
    <w:rsid w:val="00310261"/>
    <w:rsid w:val="00317654"/>
    <w:rsid w:val="00343044"/>
    <w:rsid w:val="00344B01"/>
    <w:rsid w:val="00353AC4"/>
    <w:rsid w:val="003616B4"/>
    <w:rsid w:val="00372FF6"/>
    <w:rsid w:val="00373EC0"/>
    <w:rsid w:val="003A090F"/>
    <w:rsid w:val="003A57B2"/>
    <w:rsid w:val="003B755F"/>
    <w:rsid w:val="003C0E26"/>
    <w:rsid w:val="003C7132"/>
    <w:rsid w:val="003D77A5"/>
    <w:rsid w:val="003E6BF6"/>
    <w:rsid w:val="003F221D"/>
    <w:rsid w:val="003F3097"/>
    <w:rsid w:val="00402AE8"/>
    <w:rsid w:val="00404C3E"/>
    <w:rsid w:val="00405FE6"/>
    <w:rsid w:val="004105BC"/>
    <w:rsid w:val="00420571"/>
    <w:rsid w:val="00421C27"/>
    <w:rsid w:val="00440A1F"/>
    <w:rsid w:val="00443603"/>
    <w:rsid w:val="00443604"/>
    <w:rsid w:val="004501EA"/>
    <w:rsid w:val="00452108"/>
    <w:rsid w:val="00460458"/>
    <w:rsid w:val="0046792D"/>
    <w:rsid w:val="004767DF"/>
    <w:rsid w:val="00493CCC"/>
    <w:rsid w:val="004A0218"/>
    <w:rsid w:val="004A7840"/>
    <w:rsid w:val="004B545A"/>
    <w:rsid w:val="004B7E80"/>
    <w:rsid w:val="004C457E"/>
    <w:rsid w:val="004C48D5"/>
    <w:rsid w:val="004D03B7"/>
    <w:rsid w:val="004D1436"/>
    <w:rsid w:val="004D57AE"/>
    <w:rsid w:val="004E6A8C"/>
    <w:rsid w:val="005056D4"/>
    <w:rsid w:val="00526B2B"/>
    <w:rsid w:val="005362B0"/>
    <w:rsid w:val="00542447"/>
    <w:rsid w:val="00564312"/>
    <w:rsid w:val="005938DE"/>
    <w:rsid w:val="005A2981"/>
    <w:rsid w:val="005C3FAA"/>
    <w:rsid w:val="005C6937"/>
    <w:rsid w:val="005C7F02"/>
    <w:rsid w:val="005D3CC1"/>
    <w:rsid w:val="005E1B5C"/>
    <w:rsid w:val="005F0A86"/>
    <w:rsid w:val="005F144A"/>
    <w:rsid w:val="005F1C00"/>
    <w:rsid w:val="0061621E"/>
    <w:rsid w:val="00630AA8"/>
    <w:rsid w:val="00630B2E"/>
    <w:rsid w:val="00643D2A"/>
    <w:rsid w:val="0066041A"/>
    <w:rsid w:val="00662122"/>
    <w:rsid w:val="00664E11"/>
    <w:rsid w:val="00673B30"/>
    <w:rsid w:val="00695601"/>
    <w:rsid w:val="00696E5D"/>
    <w:rsid w:val="006A1A06"/>
    <w:rsid w:val="006B49E8"/>
    <w:rsid w:val="006B5B86"/>
    <w:rsid w:val="006C5908"/>
    <w:rsid w:val="006C633E"/>
    <w:rsid w:val="006D56AB"/>
    <w:rsid w:val="006D734F"/>
    <w:rsid w:val="006D74BC"/>
    <w:rsid w:val="006E043F"/>
    <w:rsid w:val="006E4695"/>
    <w:rsid w:val="006E4B8B"/>
    <w:rsid w:val="006E5901"/>
    <w:rsid w:val="0071091C"/>
    <w:rsid w:val="00714961"/>
    <w:rsid w:val="0072105E"/>
    <w:rsid w:val="00744BD5"/>
    <w:rsid w:val="00745748"/>
    <w:rsid w:val="0075038F"/>
    <w:rsid w:val="00750E36"/>
    <w:rsid w:val="00753CB0"/>
    <w:rsid w:val="00755460"/>
    <w:rsid w:val="00761FB7"/>
    <w:rsid w:val="00762107"/>
    <w:rsid w:val="00764CB9"/>
    <w:rsid w:val="00765B05"/>
    <w:rsid w:val="0077269F"/>
    <w:rsid w:val="00785F45"/>
    <w:rsid w:val="007A07F1"/>
    <w:rsid w:val="007A2780"/>
    <w:rsid w:val="007A68EA"/>
    <w:rsid w:val="007B06FC"/>
    <w:rsid w:val="007B0FEF"/>
    <w:rsid w:val="007B2DB5"/>
    <w:rsid w:val="007D2C11"/>
    <w:rsid w:val="007D6171"/>
    <w:rsid w:val="007D69EA"/>
    <w:rsid w:val="007E2C7B"/>
    <w:rsid w:val="007E411B"/>
    <w:rsid w:val="007E4EC2"/>
    <w:rsid w:val="007F0863"/>
    <w:rsid w:val="007F2F3B"/>
    <w:rsid w:val="00802307"/>
    <w:rsid w:val="0082168E"/>
    <w:rsid w:val="00821968"/>
    <w:rsid w:val="00842B82"/>
    <w:rsid w:val="0084639E"/>
    <w:rsid w:val="008471B6"/>
    <w:rsid w:val="00851521"/>
    <w:rsid w:val="0085686A"/>
    <w:rsid w:val="00860878"/>
    <w:rsid w:val="008731FF"/>
    <w:rsid w:val="0087512C"/>
    <w:rsid w:val="0088294A"/>
    <w:rsid w:val="0089282A"/>
    <w:rsid w:val="008A4538"/>
    <w:rsid w:val="008A704B"/>
    <w:rsid w:val="008B08D2"/>
    <w:rsid w:val="008B4EE5"/>
    <w:rsid w:val="008B5807"/>
    <w:rsid w:val="008C3F8E"/>
    <w:rsid w:val="008D5FA0"/>
    <w:rsid w:val="008E2D38"/>
    <w:rsid w:val="008F11E4"/>
    <w:rsid w:val="008F5724"/>
    <w:rsid w:val="008F5900"/>
    <w:rsid w:val="00902633"/>
    <w:rsid w:val="009027D8"/>
    <w:rsid w:val="0090372F"/>
    <w:rsid w:val="00911E27"/>
    <w:rsid w:val="00911E9A"/>
    <w:rsid w:val="0092129A"/>
    <w:rsid w:val="00925BB2"/>
    <w:rsid w:val="00930C8C"/>
    <w:rsid w:val="009360EA"/>
    <w:rsid w:val="00947C57"/>
    <w:rsid w:val="00951149"/>
    <w:rsid w:val="00960EDB"/>
    <w:rsid w:val="009622DB"/>
    <w:rsid w:val="009664BC"/>
    <w:rsid w:val="00980F02"/>
    <w:rsid w:val="00991B77"/>
    <w:rsid w:val="00997523"/>
    <w:rsid w:val="009A0C5D"/>
    <w:rsid w:val="009A58EB"/>
    <w:rsid w:val="009C4672"/>
    <w:rsid w:val="009C491B"/>
    <w:rsid w:val="009D0911"/>
    <w:rsid w:val="009D24F8"/>
    <w:rsid w:val="009D29C7"/>
    <w:rsid w:val="009D688C"/>
    <w:rsid w:val="009F7A36"/>
    <w:rsid w:val="00A249C2"/>
    <w:rsid w:val="00A24FAB"/>
    <w:rsid w:val="00A27E4F"/>
    <w:rsid w:val="00A301E7"/>
    <w:rsid w:val="00A3068F"/>
    <w:rsid w:val="00A42E69"/>
    <w:rsid w:val="00A45CA7"/>
    <w:rsid w:val="00A51415"/>
    <w:rsid w:val="00A6014E"/>
    <w:rsid w:val="00A60356"/>
    <w:rsid w:val="00A66F2C"/>
    <w:rsid w:val="00A7644C"/>
    <w:rsid w:val="00A81DF1"/>
    <w:rsid w:val="00A90EF3"/>
    <w:rsid w:val="00AA7717"/>
    <w:rsid w:val="00AB131E"/>
    <w:rsid w:val="00AB644F"/>
    <w:rsid w:val="00AC3F5E"/>
    <w:rsid w:val="00AD3C59"/>
    <w:rsid w:val="00AE7ACF"/>
    <w:rsid w:val="00B06409"/>
    <w:rsid w:val="00B10912"/>
    <w:rsid w:val="00B16ECA"/>
    <w:rsid w:val="00B17D66"/>
    <w:rsid w:val="00B31FD9"/>
    <w:rsid w:val="00B33782"/>
    <w:rsid w:val="00B35D3A"/>
    <w:rsid w:val="00B422F1"/>
    <w:rsid w:val="00B60EA4"/>
    <w:rsid w:val="00B61A89"/>
    <w:rsid w:val="00B71531"/>
    <w:rsid w:val="00B7456C"/>
    <w:rsid w:val="00B84131"/>
    <w:rsid w:val="00B8630E"/>
    <w:rsid w:val="00B931F4"/>
    <w:rsid w:val="00B95573"/>
    <w:rsid w:val="00B96395"/>
    <w:rsid w:val="00BA2AF8"/>
    <w:rsid w:val="00BA634F"/>
    <w:rsid w:val="00BB2650"/>
    <w:rsid w:val="00BB5BDC"/>
    <w:rsid w:val="00BB7B76"/>
    <w:rsid w:val="00BC7E04"/>
    <w:rsid w:val="00BD233D"/>
    <w:rsid w:val="00BD6698"/>
    <w:rsid w:val="00BF4EF0"/>
    <w:rsid w:val="00C01775"/>
    <w:rsid w:val="00C02E44"/>
    <w:rsid w:val="00C147D2"/>
    <w:rsid w:val="00C2075F"/>
    <w:rsid w:val="00C2377A"/>
    <w:rsid w:val="00C23799"/>
    <w:rsid w:val="00C274C9"/>
    <w:rsid w:val="00C31E02"/>
    <w:rsid w:val="00C3486D"/>
    <w:rsid w:val="00C45BC1"/>
    <w:rsid w:val="00C54291"/>
    <w:rsid w:val="00C672C3"/>
    <w:rsid w:val="00C712B2"/>
    <w:rsid w:val="00C869E6"/>
    <w:rsid w:val="00C94325"/>
    <w:rsid w:val="00C97FED"/>
    <w:rsid w:val="00CA1DBB"/>
    <w:rsid w:val="00CA2622"/>
    <w:rsid w:val="00CA7F2C"/>
    <w:rsid w:val="00CA7FF8"/>
    <w:rsid w:val="00CB5DE7"/>
    <w:rsid w:val="00CC068D"/>
    <w:rsid w:val="00CC4922"/>
    <w:rsid w:val="00CD1FF6"/>
    <w:rsid w:val="00CE25C7"/>
    <w:rsid w:val="00CE3335"/>
    <w:rsid w:val="00CE4849"/>
    <w:rsid w:val="00CE5C8E"/>
    <w:rsid w:val="00CE5F49"/>
    <w:rsid w:val="00D01626"/>
    <w:rsid w:val="00D33A4D"/>
    <w:rsid w:val="00D33F76"/>
    <w:rsid w:val="00D41F5E"/>
    <w:rsid w:val="00D43DC0"/>
    <w:rsid w:val="00D54E56"/>
    <w:rsid w:val="00D6407D"/>
    <w:rsid w:val="00D93E78"/>
    <w:rsid w:val="00DA7D86"/>
    <w:rsid w:val="00DB3AE8"/>
    <w:rsid w:val="00DC4EF7"/>
    <w:rsid w:val="00DC6E91"/>
    <w:rsid w:val="00DC7514"/>
    <w:rsid w:val="00DD3845"/>
    <w:rsid w:val="00E1687A"/>
    <w:rsid w:val="00E20A2E"/>
    <w:rsid w:val="00E277DE"/>
    <w:rsid w:val="00E27C91"/>
    <w:rsid w:val="00E27EE9"/>
    <w:rsid w:val="00E3239D"/>
    <w:rsid w:val="00E3254B"/>
    <w:rsid w:val="00E3439B"/>
    <w:rsid w:val="00E42C5F"/>
    <w:rsid w:val="00E65A1B"/>
    <w:rsid w:val="00E72F1F"/>
    <w:rsid w:val="00E934AB"/>
    <w:rsid w:val="00EA06AC"/>
    <w:rsid w:val="00EA08BF"/>
    <w:rsid w:val="00EA24FB"/>
    <w:rsid w:val="00EB3204"/>
    <w:rsid w:val="00EB50BA"/>
    <w:rsid w:val="00EB5B41"/>
    <w:rsid w:val="00EC3D33"/>
    <w:rsid w:val="00ED302A"/>
    <w:rsid w:val="00ED3A42"/>
    <w:rsid w:val="00EE02BC"/>
    <w:rsid w:val="00EE6970"/>
    <w:rsid w:val="00EF38D0"/>
    <w:rsid w:val="00EF3DDF"/>
    <w:rsid w:val="00EF4A8C"/>
    <w:rsid w:val="00EF4EB8"/>
    <w:rsid w:val="00F2678C"/>
    <w:rsid w:val="00F27B38"/>
    <w:rsid w:val="00F341DD"/>
    <w:rsid w:val="00F40278"/>
    <w:rsid w:val="00F41832"/>
    <w:rsid w:val="00F43EE1"/>
    <w:rsid w:val="00F56988"/>
    <w:rsid w:val="00F5789E"/>
    <w:rsid w:val="00F620FB"/>
    <w:rsid w:val="00F64129"/>
    <w:rsid w:val="00F6571F"/>
    <w:rsid w:val="00F73AD5"/>
    <w:rsid w:val="00F755CD"/>
    <w:rsid w:val="00F8687E"/>
    <w:rsid w:val="00F91E34"/>
    <w:rsid w:val="00F93331"/>
    <w:rsid w:val="00F95549"/>
    <w:rsid w:val="00FA1E24"/>
    <w:rsid w:val="00FA24FB"/>
    <w:rsid w:val="00FA632B"/>
    <w:rsid w:val="00FB38EA"/>
    <w:rsid w:val="00FB5E0F"/>
    <w:rsid w:val="00FB6AFF"/>
    <w:rsid w:val="00FC4D8F"/>
    <w:rsid w:val="00FD06D3"/>
    <w:rsid w:val="00FE3157"/>
    <w:rsid w:val="00FE6865"/>
    <w:rsid w:val="00FE6993"/>
    <w:rsid w:val="00FE766F"/>
    <w:rsid w:val="00FF2795"/>
    <w:rsid w:val="0968737D"/>
    <w:rsid w:val="0F925DDB"/>
    <w:rsid w:val="2CA2517C"/>
    <w:rsid w:val="3805545E"/>
    <w:rsid w:val="405A56A2"/>
    <w:rsid w:val="4A987962"/>
    <w:rsid w:val="51384583"/>
    <w:rsid w:val="6AB16CDE"/>
    <w:rsid w:val="7F83250F"/>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Straight Connector 49"/>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2"/>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3"/>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4"/>
    <w:qFormat/>
    <w:uiPriority w:val="9"/>
    <w:pPr>
      <w:ind w:right="300"/>
      <w:outlineLvl w:val="2"/>
    </w:pPr>
    <w:rPr>
      <w:rFonts w:ascii="仿宋_GB2312" w:hAnsi="Calibri" w:eastAsia="仿宋_GB2312" w:cs="Times New Roman"/>
      <w:sz w:val="30"/>
      <w:szCs w:val="30"/>
    </w:rPr>
  </w:style>
  <w:style w:type="character" w:default="1" w:styleId="13">
    <w:name w:val="Default Paragraph Font"/>
    <w:unhideWhenUsed/>
    <w:uiPriority w:val="1"/>
  </w:style>
  <w:style w:type="table" w:default="1" w:styleId="17">
    <w:name w:val="Normal Table"/>
    <w:unhideWhenUsed/>
    <w:qFormat/>
    <w:uiPriority w:val="99"/>
    <w:tblPr>
      <w:tblStyle w:val="17"/>
      <w:tblLayout w:type="fixed"/>
      <w:tblCellMar>
        <w:top w:w="0" w:type="dxa"/>
        <w:left w:w="108" w:type="dxa"/>
        <w:bottom w:w="0" w:type="dxa"/>
        <w:right w:w="108" w:type="dxa"/>
      </w:tblCellMar>
    </w:tblPr>
    <w:tcPr>
      <w:textDirection w:val="lrTb"/>
    </w:tcPr>
  </w:style>
  <w:style w:type="paragraph" w:styleId="5">
    <w:name w:val="Document Map"/>
    <w:basedOn w:val="1"/>
    <w:link w:val="38"/>
    <w:unhideWhenUsed/>
    <w:qFormat/>
    <w:uiPriority w:val="0"/>
    <w:rPr>
      <w:rFonts w:ascii="宋体"/>
      <w:sz w:val="18"/>
      <w:szCs w:val="18"/>
    </w:rPr>
  </w:style>
  <w:style w:type="paragraph" w:styleId="6">
    <w:name w:val="annotation text"/>
    <w:basedOn w:val="1"/>
    <w:link w:val="31"/>
    <w:unhideWhenUsed/>
    <w:uiPriority w:val="99"/>
    <w:pPr>
      <w:jc w:val="left"/>
    </w:pPr>
    <w:rPr>
      <w:rFonts w:ascii="Calibri" w:hAnsi="Calibri" w:eastAsia="宋体" w:cs="Times New Roman"/>
    </w:rPr>
  </w:style>
  <w:style w:type="paragraph" w:styleId="7">
    <w:name w:val="Balloon Text"/>
    <w:basedOn w:val="1"/>
    <w:link w:val="29"/>
    <w:unhideWhenUsed/>
    <w:uiPriority w:val="0"/>
    <w:rPr>
      <w:sz w:val="18"/>
      <w:szCs w:val="18"/>
    </w:rPr>
  </w:style>
  <w:style w:type="paragraph" w:styleId="8">
    <w:name w:val="footer"/>
    <w:basedOn w:val="1"/>
    <w:link w:val="28"/>
    <w:unhideWhenUsed/>
    <w:uiPriority w:val="99"/>
    <w:pPr>
      <w:tabs>
        <w:tab w:val="center" w:pos="4153"/>
        <w:tab w:val="right" w:pos="8306"/>
      </w:tabs>
      <w:snapToGrid w:val="0"/>
      <w:jc w:val="left"/>
    </w:pPr>
    <w:rPr>
      <w:sz w:val="18"/>
      <w:szCs w:val="18"/>
    </w:rPr>
  </w:style>
  <w:style w:type="paragraph" w:styleId="9">
    <w:name w:val="header"/>
    <w:basedOn w:val="1"/>
    <w:link w:val="27"/>
    <w:unhideWhenUsed/>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6"/>
    <w:semiHidden/>
    <w:qFormat/>
    <w:uiPriority w:val="0"/>
    <w:pPr>
      <w:snapToGrid w:val="0"/>
      <w:jc w:val="left"/>
    </w:pPr>
    <w:rPr>
      <w:rFonts w:ascii="Times New Roman" w:hAnsi="Times New Roman"/>
      <w:sz w:val="18"/>
      <w:szCs w:val="18"/>
    </w:rPr>
  </w:style>
  <w:style w:type="paragraph" w:styleId="11">
    <w:name w:val="HTML Preformatted"/>
    <w:basedOn w:val="1"/>
    <w:link w:val="30"/>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4">
    <w:name w:val="Hyperlink"/>
    <w:basedOn w:val="13"/>
    <w:unhideWhenUsed/>
    <w:uiPriority w:val="99"/>
    <w:rPr>
      <w:rFonts w:hint="default" w:ascii="ˎ̥" w:hAnsi="ˎ̥"/>
      <w:color w:val="0453CC"/>
      <w:sz w:val="20"/>
      <w:szCs w:val="20"/>
      <w:u w:val="none"/>
    </w:rPr>
  </w:style>
  <w:style w:type="character" w:styleId="15">
    <w:name w:val="annotation reference"/>
    <w:basedOn w:val="13"/>
    <w:unhideWhenUsed/>
    <w:qFormat/>
    <w:uiPriority w:val="0"/>
    <w:rPr>
      <w:sz w:val="21"/>
      <w:szCs w:val="21"/>
    </w:rPr>
  </w:style>
  <w:style w:type="character" w:styleId="16">
    <w:name w:val="footnote reference"/>
    <w:unhideWhenUsed/>
    <w:qFormat/>
    <w:uiPriority w:val="0"/>
    <w:rPr>
      <w:rFonts w:ascii="Times New Roman" w:hAnsi="Times New Roman" w:cs="Times New Roman"/>
      <w:vertAlign w:val="superscript"/>
    </w:rPr>
  </w:style>
  <w:style w:type="table" w:styleId="18">
    <w:name w:val="Table Grid"/>
    <w:basedOn w:val="17"/>
    <w:uiPriority w:val="59"/>
    <w:pPr/>
    <w:tblPr>
      <w:tblStyle w:val="17"/>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paragraph" w:customStyle="1" w:styleId="19">
    <w:name w:val="List Paragraph"/>
    <w:basedOn w:val="1"/>
    <w:qFormat/>
    <w:uiPriority w:val="34"/>
    <w:pPr>
      <w:ind w:firstLine="420" w:firstLineChars="200"/>
    </w:pPr>
  </w:style>
  <w:style w:type="paragraph" w:customStyle="1" w:styleId="20">
    <w:name w:val="Defaul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21">
    <w:name w:val="juzhong"/>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2">
    <w:name w:val="Revision"/>
    <w:hidden/>
    <w:semiHidden/>
    <w:qFormat/>
    <w:uiPriority w:val="99"/>
    <w:rPr>
      <w:rFonts w:ascii="Calibri" w:hAnsi="Calibri" w:eastAsia="宋体" w:cs="黑体"/>
      <w:kern w:val="2"/>
      <w:sz w:val="21"/>
      <w:szCs w:val="22"/>
      <w:lang w:val="en-US" w:eastAsia="zh-CN" w:bidi="ar-SA"/>
    </w:rPr>
  </w:style>
  <w:style w:type="paragraph" w:customStyle="1" w:styleId="23">
    <w:name w:val="列出段落1"/>
    <w:basedOn w:val="1"/>
    <w:qFormat/>
    <w:uiPriority w:val="34"/>
    <w:pPr>
      <w:ind w:firstLine="420" w:firstLineChars="200"/>
    </w:pPr>
    <w:rPr>
      <w:rFonts w:ascii="Calibri" w:hAnsi="Calibri" w:eastAsia="宋体" w:cs="Times New Roman"/>
    </w:rPr>
  </w:style>
  <w:style w:type="paragraph" w:customStyle="1" w:styleId="24">
    <w:name w:val="列出段落4"/>
    <w:basedOn w:val="1"/>
    <w:qFormat/>
    <w:uiPriority w:val="0"/>
    <w:pPr>
      <w:ind w:firstLine="200" w:firstLineChars="200"/>
    </w:pPr>
    <w:rPr>
      <w:rFonts w:ascii="Calibri" w:hAnsi="Calibri" w:eastAsia="宋体" w:cs="Times New Roman"/>
    </w:rPr>
  </w:style>
  <w:style w:type="paragraph" w:customStyle="1" w:styleId="25">
    <w:name w:val="列出段落3"/>
    <w:basedOn w:val="1"/>
    <w:qFormat/>
    <w:uiPriority w:val="0"/>
    <w:pPr>
      <w:ind w:firstLine="420" w:firstLineChars="200"/>
    </w:pPr>
    <w:rPr>
      <w:rFonts w:ascii="Times New Roman" w:hAnsi="Times New Roman" w:eastAsia="宋体" w:cs="Times New Roman"/>
      <w:szCs w:val="24"/>
    </w:rPr>
  </w:style>
  <w:style w:type="paragraph" w:customStyle="1" w:styleId="26">
    <w:name w:val="p0"/>
    <w:basedOn w:val="1"/>
    <w:uiPriority w:val="0"/>
    <w:pPr>
      <w:widowControl/>
    </w:pPr>
    <w:rPr>
      <w:rFonts w:ascii="Calibri" w:hAnsi="Calibri" w:eastAsia="宋体" w:cs="宋体"/>
      <w:kern w:val="0"/>
      <w:szCs w:val="21"/>
    </w:rPr>
  </w:style>
  <w:style w:type="character" w:customStyle="1" w:styleId="27">
    <w:name w:val="页眉 Char"/>
    <w:basedOn w:val="13"/>
    <w:link w:val="9"/>
    <w:uiPriority w:val="99"/>
    <w:rPr>
      <w:sz w:val="18"/>
      <w:szCs w:val="18"/>
    </w:rPr>
  </w:style>
  <w:style w:type="character" w:customStyle="1" w:styleId="28">
    <w:name w:val="页脚 Char"/>
    <w:basedOn w:val="13"/>
    <w:link w:val="8"/>
    <w:uiPriority w:val="99"/>
    <w:rPr>
      <w:sz w:val="18"/>
      <w:szCs w:val="18"/>
    </w:rPr>
  </w:style>
  <w:style w:type="character" w:customStyle="1" w:styleId="29">
    <w:name w:val="批注框文本 Char"/>
    <w:basedOn w:val="13"/>
    <w:link w:val="7"/>
    <w:semiHidden/>
    <w:uiPriority w:val="0"/>
    <w:rPr>
      <w:sz w:val="18"/>
      <w:szCs w:val="18"/>
    </w:rPr>
  </w:style>
  <w:style w:type="character" w:customStyle="1" w:styleId="30">
    <w:name w:val="HTML 预设格式 Char"/>
    <w:basedOn w:val="13"/>
    <w:link w:val="11"/>
    <w:uiPriority w:val="99"/>
    <w:rPr>
      <w:rFonts w:ascii="宋体" w:hAnsi="宋体" w:eastAsia="宋体" w:cs="宋体"/>
      <w:kern w:val="0"/>
      <w:sz w:val="24"/>
      <w:szCs w:val="24"/>
    </w:rPr>
  </w:style>
  <w:style w:type="character" w:customStyle="1" w:styleId="31">
    <w:name w:val="批注文字 Char"/>
    <w:basedOn w:val="13"/>
    <w:link w:val="6"/>
    <w:semiHidden/>
    <w:qFormat/>
    <w:uiPriority w:val="0"/>
    <w:rPr>
      <w:rFonts w:ascii="Calibri" w:hAnsi="Calibri" w:eastAsia="宋体" w:cs="Times New Roman"/>
    </w:rPr>
  </w:style>
  <w:style w:type="character" w:customStyle="1" w:styleId="32">
    <w:name w:val="标题 1 Char"/>
    <w:basedOn w:val="13"/>
    <w:link w:val="2"/>
    <w:qFormat/>
    <w:uiPriority w:val="9"/>
    <w:rPr>
      <w:rFonts w:ascii="黑体" w:hAnsi="黑体" w:eastAsia="黑体" w:cs="宋体"/>
      <w:color w:val="000000"/>
      <w:kern w:val="0"/>
      <w:sz w:val="30"/>
      <w:szCs w:val="30"/>
    </w:rPr>
  </w:style>
  <w:style w:type="character" w:customStyle="1" w:styleId="33">
    <w:name w:val="标题 2 Char"/>
    <w:basedOn w:val="13"/>
    <w:link w:val="3"/>
    <w:qFormat/>
    <w:uiPriority w:val="0"/>
    <w:rPr>
      <w:rFonts w:ascii="Cambria" w:hAnsi="Cambria" w:eastAsia="宋体" w:cs="Times New Roman"/>
      <w:b/>
      <w:bCs/>
      <w:sz w:val="32"/>
      <w:szCs w:val="32"/>
    </w:rPr>
  </w:style>
  <w:style w:type="character" w:customStyle="1" w:styleId="34">
    <w:name w:val="标题 3 Char"/>
    <w:basedOn w:val="13"/>
    <w:link w:val="4"/>
    <w:qFormat/>
    <w:uiPriority w:val="9"/>
    <w:rPr>
      <w:rFonts w:ascii="仿宋_GB2312" w:hAnsi="Calibri" w:eastAsia="仿宋_GB2312" w:cs="Times New Roman"/>
      <w:sz w:val="30"/>
      <w:szCs w:val="30"/>
    </w:rPr>
  </w:style>
  <w:style w:type="character" w:customStyle="1" w:styleId="35">
    <w:name w:val="脚注文本 Char"/>
    <w:basedOn w:val="13"/>
    <w:semiHidden/>
    <w:uiPriority w:val="99"/>
    <w:rPr>
      <w:kern w:val="2"/>
      <w:sz w:val="18"/>
      <w:szCs w:val="18"/>
    </w:rPr>
  </w:style>
  <w:style w:type="character" w:customStyle="1" w:styleId="36">
    <w:name w:val="脚注文本 Char1"/>
    <w:basedOn w:val="13"/>
    <w:link w:val="10"/>
    <w:semiHidden/>
    <w:uiPriority w:val="0"/>
    <w:rPr>
      <w:rFonts w:ascii="Times New Roman" w:hAnsi="Times New Roman"/>
      <w:sz w:val="18"/>
      <w:szCs w:val="18"/>
    </w:rPr>
  </w:style>
  <w:style w:type="character" w:customStyle="1" w:styleId="37">
    <w:name w:val="标题 4 Char Char"/>
    <w:qFormat/>
    <w:uiPriority w:val="0"/>
    <w:rPr>
      <w:rFonts w:ascii="Calibri" w:hAnsi="Calibri"/>
      <w:b/>
      <w:bCs/>
      <w:sz w:val="28"/>
      <w:szCs w:val="28"/>
      <w:lang w:eastAsia="en-US" w:bidi="en-US"/>
    </w:rPr>
  </w:style>
  <w:style w:type="character" w:customStyle="1" w:styleId="38">
    <w:name w:val="文档结构图 Char"/>
    <w:basedOn w:val="13"/>
    <w:link w:val="5"/>
    <w:qFormat/>
    <w:uiPriority w:val="0"/>
    <w:rPr>
      <w:rFonts w:ascii="宋体"/>
      <w:sz w:val="18"/>
      <w:szCs w:val="18"/>
    </w:rPr>
  </w:style>
  <w:style w:type="character" w:customStyle="1" w:styleId="39">
    <w:name w:val="批注文字 Char1"/>
    <w:basedOn w:val="13"/>
    <w:semiHidden/>
    <w:qFormat/>
    <w:uiPriority w:val="99"/>
    <w:rPr>
      <w:kern w:val="2"/>
      <w:sz w:val="21"/>
      <w:szCs w:val="22"/>
    </w:rPr>
  </w:style>
  <w:style w:type="character" w:customStyle="1" w:styleId="40">
    <w:name w:val="Intense Emphasis"/>
    <w:basedOn w:val="13"/>
    <w:qFormat/>
    <w:uiPriority w:val="21"/>
    <w:rPr>
      <w:b/>
      <w:bCs/>
      <w:i/>
      <w:iCs/>
      <w:color w:val="4F81BD"/>
    </w:rPr>
  </w:style>
  <w:style w:type="character" w:customStyle="1" w:styleId="41">
    <w:name w:val="文档结构图 Char1"/>
    <w:basedOn w:val="13"/>
    <w:semiHidden/>
    <w:qFormat/>
    <w:uiPriority w:val="99"/>
    <w:rPr>
      <w:rFonts w:ascii="宋体" w:eastAsia="宋体"/>
      <w:sz w:val="18"/>
      <w:szCs w:val="18"/>
    </w:rPr>
  </w:style>
  <w:style w:type="character" w:customStyle="1" w:styleId="42">
    <w:name w:val="脚注文本 Char2"/>
    <w:basedOn w:val="1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0" Type="http://schemas.openxmlformats.org/officeDocument/2006/relationships/numbering" Target="numbering.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240</Words>
  <Characters>1373</Characters>
  <Lines>11</Lines>
  <Paragraphs>3</Paragraphs>
  <ScaleCrop>false</ScaleCrop>
  <LinksUpToDate>false</LinksUpToDate>
  <CharactersWithSpaces>0</CharactersWithSpaces>
  <Application>WPS Office 专业版_9.1.0.4895_{F1E327BC-269C-435d-A152-05C5408002CA}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2020-02-27T03:35:00Z</dcterms:created>
  <dc:creator>裴建君2</dc:creator>
  <cp:lastModifiedBy>unknow</cp:lastModifiedBy>
  <cp:lastPrinted>2020-09-28T03:20:00Z</cp:lastPrinted>
  <dcterms:modified xsi:type="dcterms:W3CDTF">2021-11-03T06:28:34Z</dcterms:modified>
  <dc:title>编号：57016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2052-9.1.0.4895</vt:lpwstr>
  </property>
</Properties>
</file>