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编号：57002-2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“出口收汇事前审核”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w:t>
      </w:r>
      <w:r>
        <w:rPr>
          <w:rFonts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1</w:t>
      </w:r>
      <w:r>
        <w:rPr>
          <w:rFonts w:ascii="Times New Roman" w:hAnsi="Times New Roman" w:eastAsia="仿宋_GB2312" w:cs="Times New Roman"/>
          <w:kern w:val="0"/>
          <w:sz w:val="30"/>
          <w:szCs w:val="30"/>
        </w:rPr>
        <w:t>年</w:t>
      </w:r>
      <w:r>
        <w:rPr>
          <w:rFonts w:hint="eastAsia" w:ascii="Times New Roman" w:hAnsi="Times New Roman" w:eastAsia="仿宋_GB2312" w:cs="Times New Roman"/>
          <w:kern w:val="0"/>
          <w:sz w:val="30"/>
          <w:szCs w:val="30"/>
          <w:lang w:val="en-US" w:eastAsia="zh-CN"/>
        </w:rPr>
        <w:t>11</w:t>
      </w:r>
      <w:r>
        <w:rPr>
          <w:rFonts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lang w:val="en-US" w:eastAsia="zh-CN"/>
        </w:rPr>
        <w:t>2</w:t>
      </w:r>
      <w:bookmarkStart w:id="0" w:name="_GoBack"/>
      <w:bookmarkEnd w:id="0"/>
      <w:r>
        <w:rPr>
          <w:rFonts w:ascii="Times New Roman" w:hAnsi="Times New Roman" w:eastAsia="仿宋_GB2312" w:cs="Times New Roman"/>
          <w:kern w:val="0"/>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子项名称：出口收汇事前审核；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本指南适用于“出口收汇事前审核”的申请和办理。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三</w:t>
      </w:r>
      <w:r>
        <w:rPr>
          <w:rFonts w:ascii="Times New Roman" w:hAnsi="Times New Roman" w:eastAsia="仿宋_GB2312" w:cs="Times New Roman"/>
          <w:sz w:val="30"/>
          <w:szCs w:val="30"/>
        </w:rPr>
        <w:t>）《国家外汇管理局关于进一步促进跨境贸易投资便利化的通知》（汇发〔2019〕28号）</w:t>
      </w:r>
      <w:r>
        <w:rPr>
          <w:rFonts w:ascii="Times New Roman" w:hAnsi="Times New Roman" w:eastAsia="仿宋_GB2312" w:cs="Times New Roman"/>
          <w:sz w:val="30"/>
          <w:szCs w:val="30"/>
          <w:lang w:bidi="zh-CN"/>
        </w:rPr>
        <w:t>；</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lang w:bidi="zh-CN"/>
        </w:rPr>
        <w:t>（四）《国家外汇管理局关于优化外汇管理 支持涉外业务发展的通知》（汇发〔2020〕8号）；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2.超过收汇额度的B类企业；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3.发生90天以上（不含）延期收款的B类企业；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仿宋_GB2312" w:hAnsi="Times New Roman" w:eastAsia="仿宋_GB2312" w:cs="Times New Roman"/>
          <w:sz w:val="30"/>
          <w:szCs w:val="30"/>
        </w:rPr>
        <w:t xml:space="preserve"> 办理</w:t>
      </w:r>
      <w:r>
        <w:rPr>
          <w:rFonts w:ascii="Times New Roman" w:hAnsi="Times New Roman" w:eastAsia="仿宋_GB2312" w:cs="Times New Roman"/>
          <w:sz w:val="30"/>
          <w:szCs w:val="30"/>
        </w:rPr>
        <w:t>退汇日期与原收、付款日期间隔在180天以上（不含）或由于特殊情况无法原路退回的退汇业务</w:t>
      </w:r>
      <w:r>
        <w:rPr>
          <w:rFonts w:hint="eastAsia" w:ascii="Times New Roman" w:hAnsi="Times New Roman" w:eastAsia="仿宋_GB2312" w:cs="Times New Roman"/>
          <w:sz w:val="30"/>
          <w:szCs w:val="30"/>
        </w:rPr>
        <w:t>时，</w:t>
      </w:r>
      <w:r>
        <w:rPr>
          <w:rFonts w:ascii="Times New Roman" w:hAnsi="Times New Roman" w:eastAsia="仿宋_GB2312" w:cs="Times New Roman"/>
          <w:sz w:val="30"/>
          <w:szCs w:val="30"/>
        </w:rPr>
        <w:t>A类企业单笔等值5万美元以上（不含）</w:t>
      </w:r>
      <w:r>
        <w:rPr>
          <w:rFonts w:hint="eastAsia" w:ascii="Times New Roman" w:hAnsi="Times New Roman" w:eastAsia="仿宋_GB2312" w:cs="Times New Roman"/>
          <w:sz w:val="30"/>
          <w:szCs w:val="30"/>
        </w:rPr>
        <w:t>或</w:t>
      </w:r>
      <w:r>
        <w:rPr>
          <w:rFonts w:ascii="Times New Roman" w:hAnsi="Times New Roman" w:eastAsia="仿宋_GB2312" w:cs="Times New Roman"/>
          <w:sz w:val="30"/>
          <w:szCs w:val="30"/>
        </w:rPr>
        <w:t>B、C类企业</w:t>
      </w:r>
      <w:r>
        <w:rPr>
          <w:rFonts w:hint="eastAsia" w:ascii="仿宋_GB2312"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5.需要将待核查账户内误入的资本项目资金结汇或划出的企业；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 xml:space="preserve"> 办理新出现的贸易新业态外汇收入业务的企业。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w:t>
      </w:r>
      <w:r>
        <w:rPr>
          <w:rFonts w:hint="eastAsia" w:ascii="Times New Roman" w:hAnsi="Times New Roman" w:eastAsia="仿宋_GB2312" w:cs="Times New Roman"/>
          <w:sz w:val="30"/>
          <w:szCs w:val="30"/>
        </w:rPr>
        <w:t>原则上</w:t>
      </w:r>
      <w:r>
        <w:rPr>
          <w:rFonts w:ascii="Times New Roman" w:hAnsi="Times New Roman" w:eastAsia="仿宋_GB2312" w:cs="Times New Roman"/>
          <w:sz w:val="30"/>
          <w:szCs w:val="30"/>
        </w:rPr>
        <w:t>不得签订包含90天以上（不含）收汇条款的出口合同；不得办理</w:t>
      </w:r>
      <w:r>
        <w:rPr>
          <w:rFonts w:hint="eastAsia" w:ascii="Times New Roman" w:hAnsi="Times New Roman" w:eastAsia="仿宋_GB2312" w:cs="Times New Roman"/>
          <w:sz w:val="30"/>
          <w:szCs w:val="30"/>
        </w:rPr>
        <w:t>离岸转手买卖</w:t>
      </w:r>
      <w:r>
        <w:rPr>
          <w:rFonts w:ascii="Times New Roman" w:hAnsi="Times New Roman" w:eastAsia="仿宋_GB2312" w:cs="Times New Roman"/>
          <w:sz w:val="30"/>
          <w:szCs w:val="30"/>
        </w:rPr>
        <w:t>外汇收入；</w:t>
      </w:r>
      <w:r>
        <w:rPr>
          <w:rFonts w:ascii="Times New Roman" w:hAnsi="Times New Roman" w:eastAsia="仿宋_GB2312" w:cs="Times New Roman"/>
          <w:sz w:val="30"/>
          <w:szCs w:val="30"/>
        </w:rPr>
        <w:br/>
      </w:r>
      <w:r>
        <w:rPr>
          <w:rFonts w:ascii="Times New Roman" w:hAnsi="Times New Roman" w:eastAsia="仿宋_GB2312" w:cs="Times New Roman"/>
          <w:sz w:val="30"/>
          <w:szCs w:val="30"/>
        </w:rPr>
        <w:t xml:space="preserve">    2.对于超过收汇额度的B类企业：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w:t>
      </w:r>
      <w:r>
        <w:rPr>
          <w:rFonts w:hint="eastAsia" w:ascii="Times New Roman" w:hAnsi="Times New Roman" w:eastAsia="仿宋_GB2312" w:cs="Times New Roman"/>
          <w:sz w:val="30"/>
          <w:szCs w:val="30"/>
        </w:rPr>
        <w:t>原则上</w:t>
      </w:r>
      <w:r>
        <w:rPr>
          <w:rFonts w:ascii="Times New Roman" w:hAnsi="Times New Roman" w:eastAsia="仿宋_GB2312" w:cs="Times New Roman"/>
          <w:sz w:val="30"/>
          <w:szCs w:val="30"/>
        </w:rPr>
        <w:t>不得签订包含90天以上（不含）收汇条款的出口合同；</w:t>
      </w:r>
      <w:r>
        <w:rPr>
          <w:rFonts w:hint="eastAsia" w:ascii="Times New Roman" w:hAnsi="Times New Roman" w:eastAsia="仿宋_GB2312" w:cs="Times New Roman"/>
          <w:sz w:val="30"/>
          <w:szCs w:val="30"/>
        </w:rPr>
        <w:t>不得办理离岸转手买卖</w:t>
      </w:r>
      <w:r>
        <w:rPr>
          <w:rFonts w:ascii="Times New Roman" w:hAnsi="Times New Roman" w:eastAsia="仿宋_GB2312" w:cs="Times New Roman"/>
          <w:sz w:val="30"/>
          <w:szCs w:val="30"/>
        </w:rPr>
        <w:t>外汇收入；</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3.对于90天（不含）以上延期收款的B类企业：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交易合规：</w:t>
      </w:r>
      <w:r>
        <w:rPr>
          <w:rFonts w:ascii="Times New Roman" w:hAnsi="Times New Roman" w:eastAsia="仿宋_GB2312" w:cs="Times New Roman"/>
          <w:sz w:val="30"/>
          <w:szCs w:val="30"/>
        </w:rPr>
        <w:t>在分类监管有效期内</w:t>
      </w:r>
      <w:r>
        <w:rPr>
          <w:rFonts w:hint="eastAsia" w:ascii="Times New Roman" w:hAnsi="Times New Roman" w:eastAsia="仿宋_GB2312" w:cs="Times New Roman"/>
          <w:sz w:val="30"/>
          <w:szCs w:val="30"/>
        </w:rPr>
        <w:t>，此前导致降级的情况已改善或纠正，</w:t>
      </w:r>
      <w:r>
        <w:rPr>
          <w:rFonts w:ascii="Times New Roman" w:hAnsi="Times New Roman" w:eastAsia="仿宋_GB2312" w:cs="Times New Roman"/>
          <w:sz w:val="30"/>
          <w:szCs w:val="30"/>
        </w:rPr>
        <w:t>且没有</w:t>
      </w:r>
      <w:r>
        <w:rPr>
          <w:rFonts w:hint="eastAsia" w:ascii="Times New Roman" w:hAnsi="Times New Roman" w:eastAsia="仿宋_GB2312" w:cs="Times New Roman"/>
          <w:sz w:val="30"/>
          <w:szCs w:val="30"/>
        </w:rPr>
        <w:t>发生法规规定情形</w:t>
      </w:r>
      <w:r>
        <w:rPr>
          <w:rFonts w:ascii="Times New Roman" w:hAnsi="Times New Roman" w:eastAsia="仿宋_GB2312" w:cs="Times New Roman"/>
          <w:sz w:val="30"/>
          <w:szCs w:val="30"/>
        </w:rPr>
        <w:t>的，自列入B类之日起6个月后，</w:t>
      </w:r>
      <w:r>
        <w:rPr>
          <w:rFonts w:hint="eastAsia" w:ascii="Times New Roman" w:hAnsi="Times New Roman" w:eastAsia="仿宋_GB2312" w:cs="Times New Roman"/>
          <w:sz w:val="30"/>
          <w:szCs w:val="30"/>
        </w:rPr>
        <w:t>可</w:t>
      </w:r>
      <w:r>
        <w:rPr>
          <w:rFonts w:ascii="Times New Roman" w:hAnsi="Times New Roman" w:eastAsia="仿宋_GB2312" w:cs="Times New Roman"/>
          <w:sz w:val="30"/>
          <w:szCs w:val="30"/>
        </w:rPr>
        <w:t>经</w:t>
      </w:r>
      <w:r>
        <w:rPr>
          <w:rFonts w:hint="eastAsia" w:ascii="Times New Roman" w:hAnsi="Times New Roman" w:eastAsia="仿宋_GB2312" w:cs="Times New Roman"/>
          <w:sz w:val="30"/>
          <w:szCs w:val="30"/>
        </w:rPr>
        <w:t>外汇局</w:t>
      </w:r>
      <w:r>
        <w:rPr>
          <w:rFonts w:ascii="Times New Roman" w:hAnsi="Times New Roman" w:eastAsia="仿宋_GB2312" w:cs="Times New Roman"/>
          <w:sz w:val="30"/>
          <w:szCs w:val="30"/>
        </w:rPr>
        <w:t>登记办理</w:t>
      </w:r>
      <w:r>
        <w:rPr>
          <w:rFonts w:hint="eastAsia" w:ascii="Times New Roman" w:hAnsi="Times New Roman" w:eastAsia="仿宋_GB2312" w:cs="Times New Roman"/>
          <w:sz w:val="30"/>
          <w:szCs w:val="30"/>
        </w:rPr>
        <w:t>该</w:t>
      </w:r>
      <w:r>
        <w:rPr>
          <w:rFonts w:ascii="Times New Roman" w:hAnsi="Times New Roman" w:eastAsia="仿宋_GB2312" w:cs="Times New Roman"/>
          <w:sz w:val="30"/>
          <w:szCs w:val="30"/>
        </w:rPr>
        <w:t>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5.对于需要将待核查账户内误入的资本项目资金结汇或划出的企业：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交易合规</w:t>
      </w:r>
      <w:r>
        <w:rPr>
          <w:rFonts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 xml:space="preserve"> 办理新出现的贸易新业态外汇收入的企业：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（一）C类企业出口收汇登记申请材料清单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819"/>
        <w:gridCol w:w="2934"/>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9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27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93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说明需登记的事项和具体内容。对于贸易付汇的退汇收入，应在书面申请中具体说明退汇原因以及退汇同时是否发生货物退运。</w:t>
            </w:r>
            <w:r>
              <w:rPr>
                <w:rFonts w:ascii="Times New Roman" w:hAnsi="Times New Roman" w:eastAsia="仿宋_GB2312" w:cs="Times New Roman"/>
                <w:sz w:val="24"/>
                <w:szCs w:val="24"/>
              </w:rPr>
              <w:t xml:space="preserve"> </w:t>
            </w:r>
          </w:p>
        </w:tc>
        <w:tc>
          <w:tcPr>
            <w:tcW w:w="1176"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对于代理出口业务，代理方为</w:t>
            </w:r>
            <w:r>
              <w:rPr>
                <w:rFonts w:ascii="Times New Roman" w:hAnsi="Times New Roman" w:eastAsia="仿宋_GB2312" w:cs="Times New Roman"/>
                <w:sz w:val="24"/>
                <w:szCs w:val="24"/>
              </w:rPr>
              <w:t>C</w:t>
            </w:r>
            <w:r>
              <w:rPr>
                <w:rFonts w:hint="eastAsia" w:ascii="Times New Roman" w:hAnsi="Times New Roman" w:eastAsia="仿宋_GB2312" w:cs="Times New Roman"/>
                <w:sz w:val="24"/>
                <w:szCs w:val="24"/>
              </w:rPr>
              <w:t>类企业的，应当按规定办理贸易外汇收入登记。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收汇凭证</w:t>
            </w:r>
          </w:p>
        </w:tc>
        <w:tc>
          <w:tcPr>
            <w:tcW w:w="127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93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收入未进待核查账户的，可免于提交。</w:t>
            </w:r>
          </w:p>
        </w:tc>
        <w:tc>
          <w:tcPr>
            <w:tcW w:w="117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1.一般情况（含</w:t>
            </w:r>
            <w:r>
              <w:rPr>
                <w:rFonts w:ascii="Times New Roman" w:hAnsi="Times New Roman" w:eastAsia="仿宋_GB2312" w:cs="Times New Roman"/>
                <w:sz w:val="24"/>
                <w:szCs w:val="24"/>
              </w:rPr>
              <w:t>因汇路不畅需要使用外币现钞结算的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，应提交出口合同；2.对于贸易付汇的退汇收入，因错误汇出以外的其他原因产生的，提交原进口合同。</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预收货款方式结算时提供；出口贸易融资放款时提供。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 xml:space="preserve"> 除信用证、托收、预收货款外其他方式结算的，货物已出口报关的，需</w:t>
            </w:r>
            <w:r>
              <w:rPr>
                <w:rFonts w:ascii="Times New Roman" w:hAnsi="Times New Roman" w:eastAsia="仿宋_GB2312" w:cs="Times New Roman"/>
                <w:sz w:val="24"/>
                <w:szCs w:val="24"/>
              </w:rPr>
              <w:t>提供</w:t>
            </w:r>
            <w:r>
              <w:rPr>
                <w:rFonts w:hint="eastAsia" w:ascii="Times New Roman" w:hAnsi="Times New Roman" w:eastAsia="仿宋_GB2312" w:cs="Times New Roman"/>
                <w:sz w:val="24"/>
                <w:szCs w:val="24"/>
              </w:rPr>
              <w:t>报关单，货物不报关的，可提供运输单据等其他材料</w:t>
            </w:r>
            <w:r>
              <w:rPr>
                <w:rFonts w:ascii="Times New Roman" w:hAnsi="Times New Roman" w:eastAsia="仿宋_GB2312" w:cs="Times New Roman"/>
                <w:sz w:val="24"/>
                <w:szCs w:val="24"/>
              </w:rPr>
              <w:t>；2.因汇路不畅需要使用外币现钞结算的，办理外币现钞结汇业务登记时应提交；3.发生货物退运而产生贸易付汇的退汇收入时应提供</w:t>
            </w:r>
            <w:r>
              <w:rPr>
                <w:rFonts w:hint="eastAsia" w:ascii="Times New Roman" w:hAnsi="Times New Roman" w:eastAsia="仿宋_GB2312" w:cs="Times New Roman"/>
                <w:sz w:val="24"/>
                <w:szCs w:val="24"/>
              </w:rPr>
              <w:t>出口报关单</w:t>
            </w:r>
            <w:r>
              <w:rPr>
                <w:rFonts w:ascii="Times New Roman" w:hAnsi="Times New Roman" w:eastAsia="仿宋_GB2312" w:cs="Times New Roman"/>
                <w:sz w:val="24"/>
                <w:szCs w:val="24"/>
              </w:rPr>
              <w:t xml:space="preserve">。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与金融机构签订的融资协议</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办理出口贸易融资放款时应提供。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p>
            <w:pPr>
              <w:jc w:val="center"/>
              <w:rPr>
                <w:rFonts w:ascii="Times New Roman" w:hAnsi="Times New Roman" w:eastAsia="仿宋_GB2312" w:cs="Times New Roman"/>
                <w:sz w:val="24"/>
                <w:szCs w:val="24"/>
              </w:rPr>
            </w:pP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因企业分立、合并原因导致出口与收入主体不一致的，应提交相关部门出具的分立、合并证明文件。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外币现钞入境申报单</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因汇路不畅需要使用外币现钞结算的，结汇现钞金额达到规定入境申报金额时，应提供经海关签章的外币现钞入境申报单。</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原支付</w:t>
            </w:r>
            <w:r>
              <w:rPr>
                <w:rFonts w:hint="eastAsia" w:ascii="Times New Roman" w:hAnsi="Times New Roman" w:eastAsia="仿宋_GB2312" w:cs="Times New Roman"/>
                <w:sz w:val="24"/>
                <w:szCs w:val="24"/>
              </w:rPr>
              <w:t>凭证</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贸易付汇退汇时提供原支付</w:t>
            </w:r>
            <w:r>
              <w:rPr>
                <w:rFonts w:hint="eastAsia" w:ascii="Times New Roman" w:hAnsi="Times New Roman" w:eastAsia="仿宋_GB2312" w:cs="Times New Roman"/>
                <w:sz w:val="24"/>
                <w:szCs w:val="24"/>
              </w:rPr>
              <w:t>凭证</w:t>
            </w:r>
            <w:r>
              <w:rPr>
                <w:rFonts w:ascii="Times New Roman" w:hAnsi="Times New Roman" w:eastAsia="仿宋_GB2312" w:cs="Times New Roman"/>
                <w:sz w:val="24"/>
                <w:szCs w:val="24"/>
              </w:rPr>
              <w:t>。</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退汇协议、错汇情况说明等能够证明收汇真实性的材料</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（二）超过收汇额度的B类企业出口收汇登记申请材料清单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717"/>
        <w:gridCol w:w="962"/>
        <w:gridCol w:w="457"/>
        <w:gridCol w:w="931"/>
        <w:gridCol w:w="2447"/>
        <w:gridCol w:w="1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3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4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说明为B类企业及具有超过可收汇额度收汇需要。</w:t>
            </w:r>
          </w:p>
        </w:tc>
        <w:tc>
          <w:tcPr>
            <w:tcW w:w="1403" w:type="dxa"/>
            <w:vMerge w:val="restar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对于代理业务，代理方为B类企业且可收汇额度不足的，应当按规定办理贸易外汇收入登记。</w:t>
            </w:r>
          </w:p>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可收汇额度不足的证明材料</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keepNext/>
              <w:keepLines/>
              <w:spacing w:before="340" w:after="330" w:line="578" w:lineRule="auto"/>
              <w:rPr>
                <w:rFonts w:ascii="Times New Roman" w:hAnsi="Times New Roman" w:eastAsia="仿宋_GB2312" w:cs="Times New Roman"/>
                <w:sz w:val="24"/>
                <w:szCs w:val="24"/>
              </w:rPr>
            </w:pPr>
          </w:p>
        </w:tc>
        <w:tc>
          <w:tcPr>
            <w:tcW w:w="1403"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收</w:t>
            </w:r>
            <w:r>
              <w:rPr>
                <w:rFonts w:hint="eastAsia" w:ascii="Times New Roman" w:hAnsi="Times New Roman" w:eastAsia="仿宋_GB2312" w:cs="Times New Roman"/>
                <w:sz w:val="24"/>
                <w:szCs w:val="24"/>
              </w:rPr>
              <w:t>汇凭证</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收入未进待核查账户的，可免于提交。</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1.一般情况（含</w:t>
            </w:r>
            <w:r>
              <w:rPr>
                <w:rFonts w:ascii="Times New Roman" w:hAnsi="Times New Roman" w:eastAsia="仿宋_GB2312" w:cs="Times New Roman"/>
                <w:sz w:val="24"/>
                <w:szCs w:val="24"/>
              </w:rPr>
              <w:t>因汇路不畅需要使用外币现钞结算的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xml:space="preserve">，应提交出口合同；2.对于贸易付汇的退汇收入，因错误汇出以外的其他原因产生的，提交原进口合同。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预收货款方式结算时提供；出口贸易融资放款时提供。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与金融机构签订的融资协议</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办理出口贸易融资放款时应提供。</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 xml:space="preserve"> 除信用证、托收、预收货款外其他方式结算的，货物已出口报关的，需</w:t>
            </w:r>
            <w:r>
              <w:rPr>
                <w:rFonts w:ascii="Times New Roman" w:hAnsi="Times New Roman" w:eastAsia="仿宋_GB2312" w:cs="Times New Roman"/>
                <w:sz w:val="24"/>
                <w:szCs w:val="24"/>
              </w:rPr>
              <w:t>提供</w:t>
            </w:r>
            <w:r>
              <w:rPr>
                <w:rFonts w:hint="eastAsia" w:ascii="Times New Roman" w:hAnsi="Times New Roman" w:eastAsia="仿宋_GB2312" w:cs="Times New Roman"/>
                <w:sz w:val="24"/>
                <w:szCs w:val="24"/>
              </w:rPr>
              <w:t>报关单，货物不报关的，可提供运输单据等其他材料</w:t>
            </w:r>
            <w:r>
              <w:rPr>
                <w:rFonts w:ascii="Times New Roman" w:hAnsi="Times New Roman" w:eastAsia="仿宋_GB2312" w:cs="Times New Roman"/>
                <w:sz w:val="24"/>
                <w:szCs w:val="24"/>
              </w:rPr>
              <w:t xml:space="preserve">；2.因汇路不畅需要使用外币现钞结算的，办理外币现钞结汇业务登记时应提交；3.发生货物退运而产生贸易付汇的退汇收入时应提供。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因企业分立、合并原因导致出口与收入主体不一致的，应提交相关部门出具的分立、合并证明文件。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外币现钞入境申报单</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因汇路不畅需要使用外币现钞结算的，结汇现钞金额达到规定入境申报金额时，应提供经海关签章的外币现钞入境申报单。</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原支付</w:t>
            </w:r>
            <w:r>
              <w:rPr>
                <w:rFonts w:hint="eastAsia" w:ascii="Times New Roman" w:hAnsi="Times New Roman" w:eastAsia="仿宋_GB2312" w:cs="Times New Roman"/>
                <w:sz w:val="24"/>
                <w:szCs w:val="24"/>
              </w:rPr>
              <w:t>凭证</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贸易付汇退汇时提供原支付</w:t>
            </w:r>
            <w:r>
              <w:rPr>
                <w:rFonts w:hint="eastAsia" w:ascii="Times New Roman" w:hAnsi="Times New Roman" w:eastAsia="仿宋_GB2312" w:cs="Times New Roman"/>
                <w:sz w:val="24"/>
                <w:szCs w:val="24"/>
              </w:rPr>
              <w:t>凭证</w:t>
            </w:r>
            <w:r>
              <w:rPr>
                <w:rFonts w:ascii="Times New Roman" w:hAnsi="Times New Roman" w:eastAsia="仿宋_GB2312" w:cs="Times New Roman"/>
                <w:sz w:val="24"/>
                <w:szCs w:val="24"/>
              </w:rPr>
              <w:t>。</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退汇协议、错汇情况说明等能够证明收汇真实性的材料</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p>
        </w:tc>
        <w:tc>
          <w:tcPr>
            <w:tcW w:w="1403"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（三）90天以上延期收款的B类企业出口收汇登记申请材料清单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1985"/>
        <w:gridCol w:w="567"/>
        <w:gridCol w:w="850"/>
        <w:gridCol w:w="184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9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w:t>
            </w:r>
          </w:p>
        </w:tc>
        <w:tc>
          <w:tcPr>
            <w:tcW w:w="992"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keepNext/>
              <w:keepLines/>
              <w:spacing w:before="340" w:after="330" w:line="578" w:lineRule="auto"/>
              <w:rPr>
                <w:rFonts w:ascii="Times New Roman" w:hAnsi="Times New Roman" w:eastAsia="仿宋_GB2312" w:cs="Times New Roman"/>
                <w:sz w:val="24"/>
                <w:szCs w:val="24"/>
              </w:rPr>
            </w:pPr>
          </w:p>
        </w:tc>
        <w:tc>
          <w:tcPr>
            <w:tcW w:w="992"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货物不报关的，可提供运输单据等其他材料</w:t>
            </w:r>
          </w:p>
        </w:tc>
        <w:tc>
          <w:tcPr>
            <w:tcW w:w="992"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需90天以上延期收款的证明材料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keepNext/>
              <w:keepLines/>
              <w:spacing w:before="340" w:after="330" w:line="578" w:lineRule="auto"/>
              <w:rPr>
                <w:rFonts w:ascii="Times New Roman" w:hAnsi="Times New Roman" w:eastAsia="仿宋_GB2312" w:cs="Times New Roman"/>
                <w:sz w:val="24"/>
                <w:szCs w:val="24"/>
              </w:rPr>
            </w:pPr>
          </w:p>
        </w:tc>
        <w:tc>
          <w:tcPr>
            <w:tcW w:w="992"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b/>
          <w:sz w:val="30"/>
          <w:szCs w:val="30"/>
        </w:rPr>
      </w:pPr>
      <w:r>
        <w:rPr>
          <w:rFonts w:ascii="Times New Roman" w:hAnsi="Times New Roman" w:eastAsia="仿宋_GB2312" w:cs="Times New Roman"/>
          <w:sz w:val="30"/>
          <w:szCs w:val="30"/>
        </w:rPr>
        <w:t>（四）超期限或无法原路退汇的企业收汇登记申请材料清单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993"/>
        <w:gridCol w:w="850"/>
        <w:gridCol w:w="992"/>
        <w:gridCol w:w="156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9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说明需要登记的具体内容，超期限或无法原路退汇的原因，退汇同时是否发生货物退运。</w:t>
            </w:r>
          </w:p>
        </w:tc>
        <w:tc>
          <w:tcPr>
            <w:tcW w:w="1842"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keepNext/>
              <w:keepLines/>
              <w:spacing w:before="340" w:after="330" w:line="578" w:lineRule="auto"/>
              <w:rPr>
                <w:rFonts w:ascii="Times New Roman" w:hAnsi="Times New Roman" w:eastAsia="仿宋_GB2312" w:cs="Times New Roman"/>
                <w:sz w:val="24"/>
                <w:szCs w:val="24"/>
              </w:rPr>
            </w:pPr>
          </w:p>
        </w:tc>
        <w:tc>
          <w:tcPr>
            <w:tcW w:w="1842"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原支出</w:t>
            </w:r>
            <w:r>
              <w:rPr>
                <w:rFonts w:hint="eastAsia" w:ascii="Times New Roman" w:hAnsi="Times New Roman" w:eastAsia="仿宋_GB2312" w:cs="Times New Roman"/>
                <w:sz w:val="24"/>
                <w:szCs w:val="24"/>
              </w:rPr>
              <w:t>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keepNext/>
              <w:keepLines/>
              <w:spacing w:before="340" w:after="330" w:line="578" w:lineRule="auto"/>
              <w:rPr>
                <w:rFonts w:ascii="Times New Roman" w:hAnsi="Times New Roman" w:eastAsia="仿宋_GB2312" w:cs="Times New Roman"/>
                <w:sz w:val="24"/>
                <w:szCs w:val="24"/>
              </w:rPr>
            </w:pPr>
          </w:p>
        </w:tc>
        <w:tc>
          <w:tcPr>
            <w:tcW w:w="1842"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收入</w:t>
            </w:r>
            <w:r>
              <w:rPr>
                <w:rFonts w:hint="eastAsia" w:ascii="Times New Roman" w:hAnsi="Times New Roman" w:eastAsia="仿宋_GB2312" w:cs="Times New Roman"/>
                <w:sz w:val="24"/>
                <w:szCs w:val="24"/>
              </w:rPr>
              <w:t>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收入未进待核查账户的，可免于提交。</w:t>
            </w:r>
          </w:p>
        </w:tc>
        <w:tc>
          <w:tcPr>
            <w:tcW w:w="1842" w:type="dxa"/>
            <w:vMerge w:val="continue"/>
            <w:vAlign w:val="center"/>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w:t>
            </w:r>
            <w:r>
              <w:rPr>
                <w:rFonts w:hint="eastAsia" w:ascii="Times New Roman" w:hAnsi="Times New Roman" w:eastAsia="仿宋_GB2312" w:cs="Times New Roman"/>
                <w:sz w:val="24"/>
                <w:szCs w:val="24"/>
              </w:rPr>
              <w:t>出口报关单</w:t>
            </w:r>
            <w:r>
              <w:rPr>
                <w:rFonts w:ascii="Times New Roman" w:hAnsi="Times New Roman" w:eastAsia="仿宋_GB2312" w:cs="Times New Roman"/>
                <w:sz w:val="24"/>
                <w:szCs w:val="24"/>
              </w:rPr>
              <w:t>。</w:t>
            </w:r>
          </w:p>
        </w:tc>
        <w:tc>
          <w:tcPr>
            <w:tcW w:w="1842"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原进口合同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因错误汇出以外其他原因产生的贸易付汇退汇，提供原进口合同。</w:t>
            </w:r>
          </w:p>
        </w:tc>
        <w:tc>
          <w:tcPr>
            <w:tcW w:w="1842" w:type="dxa"/>
            <w:vMerge w:val="continue"/>
            <w:vAlign w:val="center"/>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w:t>
      </w:r>
      <w:r>
        <w:rPr>
          <w:rFonts w:hint="eastAsia" w:ascii="Times New Roman" w:hAnsi="Times New Roman" w:eastAsia="仿宋_GB2312" w:cs="Times New Roman"/>
          <w:sz w:val="30"/>
          <w:szCs w:val="30"/>
        </w:rPr>
        <w:t>错汇入</w:t>
      </w:r>
      <w:r>
        <w:rPr>
          <w:rFonts w:ascii="Times New Roman" w:hAnsi="Times New Roman" w:eastAsia="仿宋_GB2312" w:cs="Times New Roman"/>
          <w:sz w:val="30"/>
          <w:szCs w:val="30"/>
        </w:rPr>
        <w:t>待核查账户的资本项目资金结汇或划出登记申请材料清单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567"/>
        <w:gridCol w:w="851"/>
        <w:gridCol w:w="240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09"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说明需登记的事项和具体内容以及资本项目外汇账户账号。</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收汇凭证和资金来源证明</w:t>
            </w:r>
            <w:r>
              <w:rPr>
                <w:rFonts w:hint="eastAsia" w:ascii="Times New Roman" w:hAnsi="Times New Roman" w:eastAsia="仿宋_GB2312" w:cs="Times New Roman"/>
                <w:sz w:val="24"/>
                <w:szCs w:val="24"/>
              </w:rPr>
              <w:t>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09"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color w:val="FF0000"/>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w:t>
      </w:r>
      <w:r>
        <w:rPr>
          <w:rFonts w:hint="eastAsia" w:ascii="Times New Roman" w:hAnsi="Times New Roman" w:eastAsia="仿宋_GB2312" w:cs="Times New Roman"/>
          <w:sz w:val="30"/>
          <w:szCs w:val="30"/>
        </w:rPr>
        <w:t>新出现的贸易新业态出口收汇登记</w:t>
      </w:r>
      <w:r>
        <w:rPr>
          <w:rFonts w:ascii="Times New Roman" w:hAnsi="Times New Roman" w:eastAsia="仿宋_GB2312" w:cs="Times New Roman"/>
          <w:sz w:val="30"/>
          <w:szCs w:val="30"/>
        </w:rPr>
        <w:t>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709"/>
        <w:gridCol w:w="1134"/>
        <w:gridCol w:w="1701"/>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1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984"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1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说</w:t>
            </w:r>
            <w:r>
              <w:rPr>
                <w:rFonts w:ascii="Times New Roman" w:hAnsi="Times New Roman" w:eastAsia="仿宋_GB2312" w:cs="Times New Roman"/>
                <w:sz w:val="24"/>
                <w:szCs w:val="24"/>
              </w:rPr>
              <w:t>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984"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：020-81883175，辖内各中心支局的咨询电话可通过网址（www.safe.gov.cn/guangdong）查询。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6"/>
          <w:rFonts w:ascii="Times New Roman" w:hAnsi="Times New Roman" w:eastAsia="仿宋_GB2312" w:cs="Times New Roman"/>
          <w:sz w:val="30"/>
          <w:szCs w:val="30"/>
        </w:rPr>
        <w:t>www.safe.gov.cn</w:t>
      </w:r>
      <w:r>
        <w:rPr>
          <w:rStyle w:val="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《贸易外汇业务登记表》的有效期是多久？</w:t>
      </w:r>
    </w:p>
    <w:p>
      <w:pPr>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答：</w:t>
      </w: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jc w:val="left"/>
        <w:rPr>
          <w:rFonts w:ascii="Times New Roman" w:hAnsi="Times New Roman" w:cs="Times New Roman"/>
        </w:rPr>
      </w:pPr>
      <w:r>
        <w:rPr>
          <w:rFonts w:ascii="Times New Roman" w:hAnsi="Times New Roman" w:eastAsia="仿宋_GB2312" w:cs="Times New Roman"/>
          <w:kern w:val="0"/>
          <w:sz w:val="30"/>
          <w:szCs w:val="30"/>
        </w:rPr>
        <w:t>企业在填写申请书时，要写明具体的登记业务类型，如B类企业办理90天以上延期收款登记，注意不要只填写B类企业登记业务。</w:t>
      </w:r>
    </w:p>
    <w:p>
      <w:pPr>
        <w:ind w:firstLine="600"/>
        <w:rPr>
          <w:rFonts w:ascii="Times New Roman" w:hAnsi="Times New Roman" w:eastAsia="仿宋_GB2312" w:cs="Times New Roman"/>
          <w:sz w:val="30"/>
          <w:szCs w:val="30"/>
        </w:rPr>
        <w:sectPr>
          <w:footerReference r:id="rId5" w:type="default"/>
          <w:pgSz w:w="11906" w:h="16838"/>
          <w:pgMar w:top="1440" w:right="1800" w:bottom="1440" w:left="16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1" o:spid="_x0000_s1027" type="#_x0000_t116" style="position:absolute;left:0;margin-left:-12.9pt;margin-top:26.45pt;height:73.8pt;width:101.3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30" o:spid="_x0000_s1028" type="#_x0000_t32" style="position:absolute;left:0;margin-left:39.75pt;margin-top:6.65pt;height:54.9pt;width:0.8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4"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3"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28" o:spid="_x0000_s1031" type="#_x0000_t116" style="position:absolute;left:0;margin-left:216.4pt;margin-top:371.2pt;height:53.1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29" o:spid="_x0000_s1032" type="#_x0000_t116" style="position:absolute;left:0;margin-left:-3.1pt;margin-top:371.2pt;height:52.7pt;width:205.8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37" o:spid="_x0000_s1033" type="#_x0000_t32" style="position:absolute;left:0;margin-left:122.1pt;margin-top:318.35pt;height:52.8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5" o:spid="_x0000_s1034" type="#_x0000_t32" style="position:absolute;left:0;margin-left:179.6pt;margin-top:233pt;height:30.5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6" o:spid="_x0000_s1035" style="position:absolute;left:0;margin-left:81.7pt;margin-top:163.15pt;height:69.85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32" o:spid="_x0000_s1036" type="#_x0000_t32" style="position:absolute;left:0;margin-left:81.7pt;margin-top:109.6pt;height:0.05pt;width:70.25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1" o:spid="_x0000_s1037" type="#_x0000_t32" style="position:absolute;left:0;margin-left:88.45pt;margin-top:61.45pt;height:0.05pt;width:6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22" o:spid="_x0000_s1038" type="#_x0000_t4" style="position:absolute;left:0;margin-left:-41.75pt;margin-top:30.35pt;height:106.45pt;width:163.9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36" o:spid="_x0000_s1039" type="#_x0000_t32" style="position:absolute;left:0;margin-left:247.8pt;margin-top:318.35pt;height:52.85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27" o:spid="_x0000_s1040" type="#_x0000_t4" style="position:absolute;left:0;margin-left:93.35pt;margin-top:263.55pt;height:85.4pt;width:176.8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38" o:spid="_x0000_s1041" type="#_x0000_t32" style="position:absolute;left:0;margin-left:40.6pt;margin-top:132.2pt;height:50.6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5" o:spid="_x0000_s1043" style="position:absolute;left:0;margin-left:151.95pt;margin-top:91.5pt;height:45.3pt;width:268.1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33"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4" o:spid="_x0000_s1045" style="position:absolute;left:0;margin-left:151.95pt;margin-top:48.85pt;height:25pt;width:268.1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一、本次申请业务的基本情况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highlight w:val="yellow"/>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年  月  日</w:t>
      </w:r>
    </w:p>
    <w:p>
      <w:pPr>
        <w:widowControl/>
        <w:spacing w:line="384" w:lineRule="auto"/>
        <w:jc w:val="left"/>
        <w:rPr>
          <w:rFonts w:ascii="Times New Roman" w:hAnsi="Times New Roman" w:eastAsia="仿宋_GB2312" w:cs="Times New Roman"/>
          <w:kern w:val="0"/>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41BE4"/>
    <w:rsid w:val="00045D06"/>
    <w:rsid w:val="000638EC"/>
    <w:rsid w:val="00064189"/>
    <w:rsid w:val="00073221"/>
    <w:rsid w:val="00076826"/>
    <w:rsid w:val="000843E0"/>
    <w:rsid w:val="000854FC"/>
    <w:rsid w:val="00087A9B"/>
    <w:rsid w:val="00087E73"/>
    <w:rsid w:val="0009522D"/>
    <w:rsid w:val="000C068E"/>
    <w:rsid w:val="000D6FD9"/>
    <w:rsid w:val="000F1CA6"/>
    <w:rsid w:val="000F2169"/>
    <w:rsid w:val="000F3004"/>
    <w:rsid w:val="000F3F2E"/>
    <w:rsid w:val="001011EC"/>
    <w:rsid w:val="0010248C"/>
    <w:rsid w:val="00117A1A"/>
    <w:rsid w:val="00117DE2"/>
    <w:rsid w:val="00122C3A"/>
    <w:rsid w:val="00127C13"/>
    <w:rsid w:val="00142554"/>
    <w:rsid w:val="00144D91"/>
    <w:rsid w:val="0014656F"/>
    <w:rsid w:val="0014747A"/>
    <w:rsid w:val="0017569A"/>
    <w:rsid w:val="001846F8"/>
    <w:rsid w:val="001A3F88"/>
    <w:rsid w:val="001B7D6F"/>
    <w:rsid w:val="001D5EEB"/>
    <w:rsid w:val="001E6D6F"/>
    <w:rsid w:val="0023196A"/>
    <w:rsid w:val="00233898"/>
    <w:rsid w:val="00236980"/>
    <w:rsid w:val="00243FAD"/>
    <w:rsid w:val="00245151"/>
    <w:rsid w:val="002601FB"/>
    <w:rsid w:val="00266BD1"/>
    <w:rsid w:val="00267534"/>
    <w:rsid w:val="002813E0"/>
    <w:rsid w:val="002831EF"/>
    <w:rsid w:val="00283E51"/>
    <w:rsid w:val="002A77BC"/>
    <w:rsid w:val="002D0308"/>
    <w:rsid w:val="002D1698"/>
    <w:rsid w:val="002D43AB"/>
    <w:rsid w:val="002F0411"/>
    <w:rsid w:val="002F43D0"/>
    <w:rsid w:val="003020D3"/>
    <w:rsid w:val="00314861"/>
    <w:rsid w:val="00316276"/>
    <w:rsid w:val="00321DEE"/>
    <w:rsid w:val="00324518"/>
    <w:rsid w:val="0032574B"/>
    <w:rsid w:val="00325CFC"/>
    <w:rsid w:val="00345FC7"/>
    <w:rsid w:val="00355EB5"/>
    <w:rsid w:val="003645B4"/>
    <w:rsid w:val="00364F5D"/>
    <w:rsid w:val="0036739D"/>
    <w:rsid w:val="003719CF"/>
    <w:rsid w:val="00380EE5"/>
    <w:rsid w:val="00395346"/>
    <w:rsid w:val="003A219D"/>
    <w:rsid w:val="003A2508"/>
    <w:rsid w:val="003A6408"/>
    <w:rsid w:val="003B1CD4"/>
    <w:rsid w:val="003C3108"/>
    <w:rsid w:val="003F2446"/>
    <w:rsid w:val="00407A9E"/>
    <w:rsid w:val="00411943"/>
    <w:rsid w:val="004162EF"/>
    <w:rsid w:val="00424D2A"/>
    <w:rsid w:val="00432338"/>
    <w:rsid w:val="00432CE2"/>
    <w:rsid w:val="00437CAF"/>
    <w:rsid w:val="004530BC"/>
    <w:rsid w:val="00462A52"/>
    <w:rsid w:val="0047094B"/>
    <w:rsid w:val="00476AA4"/>
    <w:rsid w:val="004818C1"/>
    <w:rsid w:val="004822E2"/>
    <w:rsid w:val="00482BB3"/>
    <w:rsid w:val="00483627"/>
    <w:rsid w:val="00491602"/>
    <w:rsid w:val="004A09E7"/>
    <w:rsid w:val="004A1143"/>
    <w:rsid w:val="004A2DF9"/>
    <w:rsid w:val="004A3554"/>
    <w:rsid w:val="004A7D6A"/>
    <w:rsid w:val="004B1782"/>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5D7C"/>
    <w:rsid w:val="005A7F81"/>
    <w:rsid w:val="005B25E1"/>
    <w:rsid w:val="005B4A1F"/>
    <w:rsid w:val="005B56A0"/>
    <w:rsid w:val="005C21E8"/>
    <w:rsid w:val="005D0372"/>
    <w:rsid w:val="005D05BD"/>
    <w:rsid w:val="005E757C"/>
    <w:rsid w:val="005F1543"/>
    <w:rsid w:val="005F1C2E"/>
    <w:rsid w:val="00602C26"/>
    <w:rsid w:val="006113EF"/>
    <w:rsid w:val="00614813"/>
    <w:rsid w:val="00620265"/>
    <w:rsid w:val="00621703"/>
    <w:rsid w:val="0062773A"/>
    <w:rsid w:val="006320E6"/>
    <w:rsid w:val="00634B8A"/>
    <w:rsid w:val="00635658"/>
    <w:rsid w:val="00636FC6"/>
    <w:rsid w:val="00637C20"/>
    <w:rsid w:val="00647C18"/>
    <w:rsid w:val="006631F5"/>
    <w:rsid w:val="00671EB8"/>
    <w:rsid w:val="00672689"/>
    <w:rsid w:val="00675EA0"/>
    <w:rsid w:val="0068023C"/>
    <w:rsid w:val="00680D6F"/>
    <w:rsid w:val="006907E6"/>
    <w:rsid w:val="006916C1"/>
    <w:rsid w:val="0069368F"/>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83903"/>
    <w:rsid w:val="00792AF3"/>
    <w:rsid w:val="00794FCC"/>
    <w:rsid w:val="007975CB"/>
    <w:rsid w:val="007A21D7"/>
    <w:rsid w:val="007B6376"/>
    <w:rsid w:val="007C24CC"/>
    <w:rsid w:val="007C52D9"/>
    <w:rsid w:val="007D025D"/>
    <w:rsid w:val="007D50B1"/>
    <w:rsid w:val="007D573B"/>
    <w:rsid w:val="007E3935"/>
    <w:rsid w:val="007E45F2"/>
    <w:rsid w:val="007F5B2E"/>
    <w:rsid w:val="008037CD"/>
    <w:rsid w:val="00807846"/>
    <w:rsid w:val="00810F3A"/>
    <w:rsid w:val="00820E53"/>
    <w:rsid w:val="00832DED"/>
    <w:rsid w:val="00835303"/>
    <w:rsid w:val="008364FD"/>
    <w:rsid w:val="0084163D"/>
    <w:rsid w:val="00845F7C"/>
    <w:rsid w:val="00873440"/>
    <w:rsid w:val="00877AC2"/>
    <w:rsid w:val="00884F8B"/>
    <w:rsid w:val="00886866"/>
    <w:rsid w:val="008A0E84"/>
    <w:rsid w:val="008A1B8A"/>
    <w:rsid w:val="008A6C96"/>
    <w:rsid w:val="008C4140"/>
    <w:rsid w:val="008C55E5"/>
    <w:rsid w:val="008D41D8"/>
    <w:rsid w:val="008E3FED"/>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102F"/>
    <w:rsid w:val="009D7ED7"/>
    <w:rsid w:val="00A01255"/>
    <w:rsid w:val="00A07E31"/>
    <w:rsid w:val="00A1244F"/>
    <w:rsid w:val="00A171AC"/>
    <w:rsid w:val="00A2375D"/>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D78B8"/>
    <w:rsid w:val="00AE0710"/>
    <w:rsid w:val="00AE410D"/>
    <w:rsid w:val="00AE5C61"/>
    <w:rsid w:val="00B001AA"/>
    <w:rsid w:val="00B005EA"/>
    <w:rsid w:val="00B05057"/>
    <w:rsid w:val="00B07771"/>
    <w:rsid w:val="00B12AA8"/>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F792B"/>
    <w:rsid w:val="00C364C4"/>
    <w:rsid w:val="00C40F7C"/>
    <w:rsid w:val="00C44C5E"/>
    <w:rsid w:val="00C50307"/>
    <w:rsid w:val="00C72817"/>
    <w:rsid w:val="00C729E5"/>
    <w:rsid w:val="00C8286E"/>
    <w:rsid w:val="00C832ED"/>
    <w:rsid w:val="00C86D43"/>
    <w:rsid w:val="00CA03A7"/>
    <w:rsid w:val="00CA35C5"/>
    <w:rsid w:val="00CA75F2"/>
    <w:rsid w:val="00CA7820"/>
    <w:rsid w:val="00CB08E2"/>
    <w:rsid w:val="00CB6620"/>
    <w:rsid w:val="00CD5D21"/>
    <w:rsid w:val="00CE1CA7"/>
    <w:rsid w:val="00CE55B2"/>
    <w:rsid w:val="00CF1AC9"/>
    <w:rsid w:val="00CF2E7F"/>
    <w:rsid w:val="00CF4084"/>
    <w:rsid w:val="00CF43CC"/>
    <w:rsid w:val="00CF5146"/>
    <w:rsid w:val="00D048E6"/>
    <w:rsid w:val="00D11CC5"/>
    <w:rsid w:val="00D20027"/>
    <w:rsid w:val="00D32AA4"/>
    <w:rsid w:val="00D42AD8"/>
    <w:rsid w:val="00D5358A"/>
    <w:rsid w:val="00D57620"/>
    <w:rsid w:val="00D65A81"/>
    <w:rsid w:val="00D83A78"/>
    <w:rsid w:val="00D9381A"/>
    <w:rsid w:val="00D9515A"/>
    <w:rsid w:val="00D95A56"/>
    <w:rsid w:val="00DA1926"/>
    <w:rsid w:val="00DC4EDB"/>
    <w:rsid w:val="00DD25EE"/>
    <w:rsid w:val="00DD676B"/>
    <w:rsid w:val="00DE0816"/>
    <w:rsid w:val="00DE296F"/>
    <w:rsid w:val="00DF5EE5"/>
    <w:rsid w:val="00DF64F7"/>
    <w:rsid w:val="00E01981"/>
    <w:rsid w:val="00E14026"/>
    <w:rsid w:val="00E312D2"/>
    <w:rsid w:val="00E419F8"/>
    <w:rsid w:val="00E45B6E"/>
    <w:rsid w:val="00E51966"/>
    <w:rsid w:val="00E5653C"/>
    <w:rsid w:val="00E640E0"/>
    <w:rsid w:val="00E671EE"/>
    <w:rsid w:val="00E85FE2"/>
    <w:rsid w:val="00EA354F"/>
    <w:rsid w:val="00EB335E"/>
    <w:rsid w:val="00EC4864"/>
    <w:rsid w:val="00ED43D9"/>
    <w:rsid w:val="00ED7EFA"/>
    <w:rsid w:val="00EE1282"/>
    <w:rsid w:val="00EF22E8"/>
    <w:rsid w:val="00EF5EC4"/>
    <w:rsid w:val="00F403B9"/>
    <w:rsid w:val="00F42D9C"/>
    <w:rsid w:val="00F51FA1"/>
    <w:rsid w:val="00F520C8"/>
    <w:rsid w:val="00F53DD0"/>
    <w:rsid w:val="00F5649B"/>
    <w:rsid w:val="00F64F72"/>
    <w:rsid w:val="00F6519F"/>
    <w:rsid w:val="00F84C71"/>
    <w:rsid w:val="00FA5383"/>
    <w:rsid w:val="00FB6597"/>
    <w:rsid w:val="00FF501B"/>
    <w:rsid w:val="040742F5"/>
    <w:rsid w:val="09285BCD"/>
    <w:rsid w:val="0D51219A"/>
    <w:rsid w:val="18E55588"/>
    <w:rsid w:val="23503FF9"/>
    <w:rsid w:val="270F6C8A"/>
    <w:rsid w:val="39857363"/>
    <w:rsid w:val="5F324D57"/>
    <w:rsid w:val="760020E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30"/>
        <o:r id="V:Rule2" type="connector" idref="#Straight Connector 34"/>
        <o:r id="V:Rule3" type="connector" idref="#Straight Connector 37"/>
        <o:r id="V:Rule4" type="connector" idref="#Straight Connector 35"/>
        <o:r id="V:Rule5" type="connector" idref="#Straight Connector 32"/>
        <o:r id="V:Rule6" type="connector" idref="#Straight Connector 31"/>
        <o:r id="V:Rule7" type="connector" idref="#Straight Connector 36"/>
        <o:r id="V:Rule8" type="connector" idref="#Straight Connector 38"/>
        <o:r id="V:Rule9" type="connector" idref="#Straight Connector 39"/>
        <o:r id="V:Rule10" type="connector" idref="#Straight Connector 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735</Words>
  <Characters>4190</Characters>
  <Lines>34</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2020-05-07T10:41:00Z</cp:lastPrinted>
  <dcterms:modified xsi:type="dcterms:W3CDTF">2021-11-03T06:28:26Z</dcterms:modified>
  <dc:title>编号：57002-2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