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hint="eastAsia"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widowControl w:val="0"/>
        <w:wordWrap/>
        <w:adjustRightInd w:val="0"/>
        <w:snapToGrid w:val="0"/>
        <w:spacing w:line="360" w:lineRule="auto"/>
        <w:ind w:left="0" w:leftChars="0" w:right="0" w:firstLine="600" w:firstLineChars="200"/>
        <w:jc w:val="both"/>
        <w:textAlignment w:val="auto"/>
        <w:outlineLvl w:val="9"/>
        <w:rPr>
          <w:rFonts w:ascii="Times New Roman" w:hAnsi="Times New Roman" w:eastAsia="黑体" w:cs="Times New Roman"/>
          <w:sz w:val="30"/>
          <w:szCs w:val="30"/>
        </w:rPr>
      </w:pPr>
      <w:r>
        <w:rPr>
          <w:rFonts w:ascii="Times New Roman" w:hAnsi="Times New Roman" w:eastAsia="黑体" w:cs="Times New Roman"/>
          <w:sz w:val="30"/>
          <w:szCs w:val="30"/>
        </w:rPr>
        <w:br w:type="page"/>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四、融资租赁对外债权登记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2.《国家外汇管理局关于进一步改进和调整资本项目外汇管理政策的通知》（汇发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2014</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2号）。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（四）审批数量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无数量限制。</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1.融资租赁类公司包括银行业监管部门批准设立的金融租赁公司、商务主管部门审批设立的外商投资租赁公司，以及商务部和国家税务总局联合确认的内资融资租赁公司等三类主体。</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2.融资租赁类公司或其项目公司开展对外融资租赁业务时，应在融资租赁对外债权发生后15个工作日内，到所在地外汇局办理融资租赁对外债权登记。</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3.禁止性要求：如符合上述条件，不存在不予许可的情况。</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（六）申请材料</w:t>
      </w:r>
    </w:p>
    <w:tbl>
      <w:tblPr>
        <w:tblStyle w:val="17"/>
        <w:tblW w:w="8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3544"/>
        <w:gridCol w:w="1417"/>
        <w:gridCol w:w="425"/>
        <w:gridCol w:w="993"/>
        <w:gridCol w:w="42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44" w:type="dxa"/>
            <w:vAlign w:val="center"/>
          </w:tcPr>
          <w:p>
            <w:pPr>
              <w:ind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13" w:leftChars="-54"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103" w:leftChars="-49"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tabs>
                <w:tab w:val="left" w:pos="776"/>
              </w:tabs>
              <w:ind w:left="-97" w:leftChars="-46" w:right="-11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01" w:leftChars="-48" w:right="-10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7" w:type="dxa"/>
            <w:vAlign w:val="center"/>
          </w:tcPr>
          <w:p>
            <w:pPr>
              <w:ind w:left="-107" w:leftChars="-51" w:right="-11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包括公司及租赁项目基本情况</w:t>
            </w:r>
            <w:r>
              <w:rPr>
                <w:rFonts w:hint="eastAsia" w:ascii="Times New Roman" w:hAnsi="Times New Roman" w:eastAsia="仿宋_GB2312" w:cs="Times New Roman"/>
                <w:sz w:val="24"/>
                <w:szCs w:val="24"/>
              </w:rPr>
              <w:t>）</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07" w:leftChars="-51" w:right="-115"/>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最近一期财务报表</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392" w:type="dxa"/>
            <w:vAlign w:val="center"/>
          </w:tcPr>
          <w:p>
            <w:pPr>
              <w:ind w:right="30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44" w:type="dxa"/>
            <w:vAlign w:val="center"/>
          </w:tcPr>
          <w:p>
            <w:pPr>
              <w:ind w:left="31" w:leftChars="1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租赁合同及租赁物转移的证明材料（如报关单、备案清单、发票等）</w:t>
            </w:r>
          </w:p>
        </w:tc>
        <w:tc>
          <w:tcPr>
            <w:tcW w:w="1417" w:type="dxa"/>
            <w:vAlign w:val="center"/>
          </w:tcPr>
          <w:p>
            <w:pPr>
              <w:ind w:left="34" w:leftChars="1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101" w:leftChars="-48" w:right="-104" w:firstLine="100" w:firstLineChars="42"/>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97" w:leftChars="-46"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77" w:type="dxa"/>
            <w:vAlign w:val="center"/>
          </w:tcPr>
          <w:p>
            <w:pPr>
              <w:ind w:left="1"/>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（七）申请接受</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r>
        <w:rPr>
          <w:rFonts w:hint="eastAsia" w:ascii="Times New Roman" w:hAnsi="Times New Roman" w:eastAsia="仿宋_GB2312" w:cs="Times New Roman"/>
          <w:sz w:val="30"/>
          <w:szCs w:val="30"/>
          <w:lang w:eastAsia="zh-CN"/>
        </w:rPr>
        <w:t>。</w:t>
      </w:r>
    </w:p>
    <w:p>
      <w:pPr>
        <w:adjustRightInd w:val="0"/>
        <w:spacing w:line="360" w:lineRule="auto"/>
        <w:ind w:firstLine="600" w:firstLineChars="200"/>
        <w:rPr>
          <w:rFonts w:hint="eastAsia" w:ascii="Times New Roman" w:hAnsi="Times New Roman" w:eastAsia="仿宋_GB2312" w:cs="Times New Roman"/>
          <w:sz w:val="30"/>
          <w:szCs w:val="30"/>
        </w:rPr>
      </w:pPr>
      <w:r>
        <w:rPr>
          <w:rFonts w:ascii="Times New Roman" w:hAnsi="黑体" w:eastAsia="黑体" w:cs="Times New Roman"/>
          <w:sz w:val="30"/>
          <w:szCs w:val="30"/>
        </w:rPr>
        <w:t>（八）基本办理流程</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行政</w:t>
      </w:r>
      <w:r>
        <w:rPr>
          <w:rFonts w:hint="eastAsia"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rPr>
        <w:t>受理</w:t>
      </w:r>
      <w:r>
        <w:rPr>
          <w:rFonts w:hint="eastAsia" w:ascii="Times New Roman" w:hAnsi="Times New Roman" w:eastAsia="仿宋_GB2312" w:cs="Times New Roman"/>
          <w:sz w:val="30"/>
          <w:szCs w:val="30"/>
          <w:lang w:eastAsia="zh-CN"/>
        </w:rPr>
        <w:t>通知书》</w:t>
      </w:r>
      <w:r>
        <w:rPr>
          <w:rFonts w:ascii="Times New Roman" w:hAnsi="Times New Roman" w:eastAsia="仿宋_GB2312" w:cs="Times New Roman"/>
          <w:sz w:val="30"/>
          <w:szCs w:val="30"/>
        </w:rPr>
        <w:t>，按程序进行审核；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不予行政</w:t>
      </w:r>
      <w:r>
        <w:rPr>
          <w:rFonts w:hint="default" w:ascii="Times New Roman" w:hAnsi="Times New Roman" w:eastAsia="仿宋_GB2312" w:cs="Times New Roman"/>
          <w:sz w:val="30"/>
          <w:szCs w:val="30"/>
          <w:lang w:eastAsia="zh-CN"/>
        </w:rPr>
        <w:t>许可</w:t>
      </w:r>
      <w:r>
        <w:rPr>
          <w:rFonts w:hint="eastAsia" w:ascii="Times New Roman" w:hAnsi="Times New Roman" w:eastAsia="仿宋_GB2312" w:cs="Times New Roman"/>
          <w:sz w:val="30"/>
          <w:szCs w:val="30"/>
          <w:lang w:eastAsia="zh-CN"/>
        </w:rPr>
        <w:t>决定书</w:t>
      </w:r>
      <w:r>
        <w:rPr>
          <w:rFonts w:hint="default" w:ascii="Times New Roman" w:hAnsi="Times New Roman" w:eastAsia="仿宋_GB2312" w:cs="Times New Roman"/>
          <w:sz w:val="30"/>
          <w:szCs w:val="30"/>
          <w:lang w:eastAsia="zh-CN"/>
        </w:rPr>
        <w:t>》</w:t>
      </w:r>
      <w:r>
        <w:rPr>
          <w:rFonts w:ascii="Times New Roman" w:hAnsi="Times New Roman" w:eastAsia="仿宋_GB2312" w:cs="Times New Roman"/>
          <w:sz w:val="30"/>
          <w:szCs w:val="30"/>
        </w:rPr>
        <w:t>；许可的，向申请人出具相关业务办理凭证。</w:t>
      </w:r>
    </w:p>
    <w:p>
      <w:pPr>
        <w:adjustRightIn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ind w:firstLine="590"/>
        <w:rPr>
          <w:rFonts w:ascii="Times New Roman" w:hAnsi="Times New Roman" w:eastAsia="黑体" w:cs="Times New Roman"/>
          <w:sz w:val="30"/>
          <w:szCs w:val="30"/>
        </w:rPr>
      </w:pP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办公地址：广东省广州市越秀区沿江西路</w:t>
      </w:r>
      <w:r>
        <w:rPr>
          <w:rFonts w:hint="eastAsia" w:ascii="Times New Roman" w:hAnsi="Times New Roman" w:eastAsia="仿宋_GB2312" w:cs="Times New Roman"/>
          <w:sz w:val="30"/>
          <w:szCs w:val="30"/>
          <w:lang w:val="en-US" w:eastAsia="zh-CN"/>
        </w:rPr>
        <w:t>137号一楼外汇业务厅4-5号窗口</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办公时间：周一至周五（节假日除外）上午8：30-12：00，下午14：00-17：30</w:t>
      </w:r>
    </w:p>
    <w:p>
      <w:pPr>
        <w:adjustRightInd w:val="0"/>
        <w:snapToGrid w:val="0"/>
        <w:spacing w:line="360" w:lineRule="auto"/>
        <w:ind w:firstLine="600"/>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咨询电话：020-81882947；监督投诉电话：020-</w:t>
      </w:r>
      <w:r>
        <w:rPr>
          <w:rFonts w:hint="eastAsia" w:ascii="Times New Roman" w:hAnsi="Times New Roman" w:eastAsia="仿宋_GB2312" w:cs="Times New Roman"/>
          <w:color w:val="auto"/>
          <w:sz w:val="30"/>
          <w:szCs w:val="20"/>
          <w:lang w:val="en-US" w:eastAsia="zh-CN"/>
        </w:rPr>
        <w:t>81322244</w:t>
      </w:r>
      <w:bookmarkStart w:id="0" w:name="_GoBack"/>
      <w:bookmarkEnd w:id="0"/>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15" o:spid="_x0000_s1026" style="position:absolute;left:0;margin-left:-11.65pt;margin-top:15.1pt;height:586.05pt;width:446.05pt;rotation:0f;z-index:251658240;" coordorigin="0,0" coordsize="8921,11721">
            <o:lock v:ext="edit" position="f" selection="f" grouping="f" rotation="f" cropping="f" text="f" aspectratio="f"/>
            <v:rect id="Rectangle 1116" o:spid="_x0000_s1027"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17" o:spid="_x0000_s1028"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18" o:spid="_x0000_s1029"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19" o:spid="_x0000_s1030"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0" o:spid="_x0000_s1031"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1" o:spid="_x0000_s1032"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22" o:spid="_x0000_s1033"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23" o:spid="_x0000_s1034"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24" o:spid="_x0000_s1035" style="position:absolute;left:0;top:0;height:7693;width:8921;rotation:0f;" coordorigin="0,0" coordsize="8921,7693">
              <o:lock v:ext="edit" position="f" selection="f" grouping="f" rotation="f" cropping="f" text="f" aspectratio="f"/>
              <v:shape id="AutoShape 1125" o:spid="_x0000_s1036"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26" o:spid="_x0000_s1037" style="position:absolute;left:0;top:0;height:7693;width:8921;rotation:0f;" coordorigin="0,0" coordsize="8921,7693">
                <o:lock v:ext="edit" position="f" selection="f" grouping="f" rotation="f" cropping="f" text="f" aspectratio="f"/>
                <v:shape id="AutoShape 1127" o:spid="_x0000_s1038"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28" o:spid="_x0000_s1039"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29" o:spid="_x0000_s1040"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30" o:spid="_x0000_s1041"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31" o:spid="_x0000_s1042"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32" o:spid="_x0000_s1043"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txbxContent>
                  </v:textbox>
                </v:rect>
                <v:rect id="Rectangle 1133" o:spid="_x0000_s1044"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txbxContent>
                  </v:textbox>
                </v:rect>
                <v:shape id="AutoShape 1134" o:spid="_x0000_s1045"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1135" o:spid="_x0000_s1046" style="position:absolute;left:0;top:0;height:7424;width:4594;rotation:0f;" coordorigin="0,0" coordsize="4594,7424">
                  <o:lock v:ext="edit" position="f" selection="f" grouping="f" rotation="f" cropping="f" text="f" aspectratio="f"/>
                  <v:shape id="AutoShape 1136" o:spid="_x0000_s1047"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37" o:spid="_x0000_s1048"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38" o:spid="_x0000_s1049" style="position:absolute;left:0;top:0;height:3986;width:3629;rotation:0f;" coordorigin="0,0" coordsize="3629,3986">
                    <o:lock v:ext="edit" position="f" selection="f" grouping="f" rotation="f" cropping="f" text="f" aspectratio="f"/>
                    <v:shape id="AutoShape 1139" o:spid="_x0000_s1050"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0" o:spid="_x0000_s1051"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1" o:spid="_x0000_s1052"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42" o:spid="_x0000_s1053"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43" o:spid="_x0000_s1054"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44" o:spid="_x0000_s1055"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45" o:spid="_x0000_s1056"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46" o:spid="_x0000_s1057"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47" o:spid="_x0000_s1058"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48" o:spid="_x0000_s1059"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adjustRightInd w:val="0"/>
        <w:snapToGrid w:val="0"/>
        <w:spacing w:line="360" w:lineRule="auto"/>
        <w:rPr>
          <w:rFonts w:ascii="Times New Roman" w:hAnsi="Times New Roman" w:eastAsia="仿宋_GB2312" w:cs="Times New Roman"/>
          <w:kern w:val="0"/>
          <w:sz w:val="30"/>
          <w:szCs w:val="30"/>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503B59"/>
    <w:rsid w:val="005056D4"/>
    <w:rsid w:val="00523A02"/>
    <w:rsid w:val="00526B2B"/>
    <w:rsid w:val="005279E3"/>
    <w:rsid w:val="005362B0"/>
    <w:rsid w:val="00537E39"/>
    <w:rsid w:val="00542447"/>
    <w:rsid w:val="00564312"/>
    <w:rsid w:val="005801FA"/>
    <w:rsid w:val="005A2981"/>
    <w:rsid w:val="005C6937"/>
    <w:rsid w:val="005C7F02"/>
    <w:rsid w:val="005E35C5"/>
    <w:rsid w:val="005F0A86"/>
    <w:rsid w:val="005F144A"/>
    <w:rsid w:val="005F1C00"/>
    <w:rsid w:val="00605BF9"/>
    <w:rsid w:val="00607F26"/>
    <w:rsid w:val="0061621E"/>
    <w:rsid w:val="00621A3B"/>
    <w:rsid w:val="00630AA8"/>
    <w:rsid w:val="00630B2E"/>
    <w:rsid w:val="00643D2A"/>
    <w:rsid w:val="00651530"/>
    <w:rsid w:val="00654B92"/>
    <w:rsid w:val="00664E11"/>
    <w:rsid w:val="006707B0"/>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3357D"/>
    <w:rsid w:val="00D33A4D"/>
    <w:rsid w:val="00D33F76"/>
    <w:rsid w:val="00D41F5E"/>
    <w:rsid w:val="00D43DC0"/>
    <w:rsid w:val="00D54E56"/>
    <w:rsid w:val="00D56F11"/>
    <w:rsid w:val="00D56F1C"/>
    <w:rsid w:val="00D6407D"/>
    <w:rsid w:val="00D93E78"/>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32D10AFC"/>
    <w:rsid w:val="5EB65015"/>
    <w:rsid w:val="5F110126"/>
    <w:rsid w:val="62EA4644"/>
    <w:rsid w:val="75687C4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19"/>
        <o:r id="V:Rule2" type="connector" idref="#AutoShape 1120"/>
        <o:r id="V:Rule3" type="connector" idref="#AutoShape 1121"/>
        <o:r id="V:Rule4" type="connector" idref="#AutoShape 1122"/>
        <o:r id="V:Rule5" type="connector" idref="#AutoShape 1123"/>
        <o:r id="V:Rule6" type="connector" idref="#AutoShape 1125"/>
        <o:r id="V:Rule7" type="connector" idref="#AutoShape 1127"/>
        <o:r id="V:Rule8" type="connector" idref="#AutoShape 1129"/>
        <o:r id="V:Rule9" type="connector" idref="#AutoShape 1136"/>
        <o:r id="V:Rule10" type="connector" idref="#AutoShape 1137"/>
        <o:r id="V:Rule11" type="connector" idref="#AutoShape 1139"/>
        <o:r id="V:Rule12" type="connector" idref="#AutoShape 1140"/>
        <o:r id="V:Rule13" type="connector" idref="#AutoShape 1143"/>
        <o:r id="V:Rule14" type="connector" idref="#AutoShape 1144"/>
        <o:r id="V:Rule15" type="connector" idref="#AutoShape 1145"/>
        <o:r id="V:Rule16" type="connector" idref="#AutoShape 114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274</Words>
  <Characters>1562</Characters>
  <Lines>13</Lines>
  <Paragraphs>3</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2020-03-17T07:54:00Z</dcterms:created>
  <dc:creator>裴建君2</dc:creator>
  <cp:lastModifiedBy>饶正洪</cp:lastModifiedBy>
  <cp:lastPrinted>2017-11-24T00:22:00Z</cp:lastPrinted>
  <dcterms:modified xsi:type="dcterms:W3CDTF">2021-10-20T07:14:56Z</dcterms:modified>
  <dc:title>编号：57007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