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DF" w:rsidRDefault="006F54DF">
      <w:pPr>
        <w:rPr>
          <w:rFonts w:ascii="Times New Roman" w:eastAsia="仿宋_GB2312" w:hAnsi="Times New Roman"/>
          <w:sz w:val="30"/>
          <w:szCs w:val="30"/>
        </w:rPr>
      </w:pPr>
    </w:p>
    <w:p w:rsidR="006F54DF" w:rsidRDefault="006F54DF">
      <w:pPr>
        <w:rPr>
          <w:rFonts w:ascii="Times New Roman" w:eastAsia="仿宋_GB2312" w:hAnsi="Times New Roman"/>
          <w:sz w:val="30"/>
          <w:szCs w:val="30"/>
        </w:rPr>
      </w:pPr>
    </w:p>
    <w:p w:rsidR="006F54DF" w:rsidRDefault="006F54DF">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57006                 </w:t>
      </w:r>
      <w:r w:rsidRPr="0069618D">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6F54DF" w:rsidRDefault="006F54DF">
      <w:pPr>
        <w:ind w:right="300"/>
        <w:jc w:val="center"/>
        <w:rPr>
          <w:rFonts w:ascii="Times New Roman" w:eastAsia="黑体" w:hAnsi="Times New Roman"/>
          <w:sz w:val="30"/>
          <w:szCs w:val="30"/>
        </w:rPr>
      </w:pPr>
    </w:p>
    <w:p w:rsidR="006F54DF" w:rsidRDefault="006F54DF">
      <w:pPr>
        <w:ind w:right="300"/>
        <w:jc w:val="center"/>
        <w:rPr>
          <w:rFonts w:ascii="Times New Roman" w:eastAsia="黑体" w:hAnsi="Times New Roman"/>
          <w:sz w:val="30"/>
          <w:szCs w:val="30"/>
        </w:rPr>
      </w:pPr>
    </w:p>
    <w:p w:rsidR="006F54DF" w:rsidRDefault="006F54DF">
      <w:pPr>
        <w:ind w:right="300"/>
        <w:jc w:val="center"/>
        <w:rPr>
          <w:rFonts w:ascii="Times New Roman" w:eastAsia="黑体" w:hAnsi="Times New Roman"/>
          <w:sz w:val="52"/>
          <w:szCs w:val="52"/>
        </w:rPr>
      </w:pPr>
    </w:p>
    <w:p w:rsidR="006F54DF" w:rsidRDefault="006F54DF">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境内机构外债、对外或有负债、外债转贷款审批、登记及履约核准</w:t>
      </w:r>
      <w:r>
        <w:rPr>
          <w:rFonts w:ascii="Times New Roman" w:eastAsia="黑体" w:hAnsi="Times New Roman"/>
          <w:sz w:val="52"/>
          <w:szCs w:val="52"/>
        </w:rPr>
        <w:t xml:space="preserve">” </w:t>
      </w:r>
    </w:p>
    <w:p w:rsidR="006F54DF" w:rsidRDefault="006F54DF">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F54DF" w:rsidRDefault="006F54DF">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bookmarkStart w:id="0" w:name="_GoBack"/>
      <w:bookmarkEnd w:id="0"/>
    </w:p>
    <w:p w:rsidR="006F54DF" w:rsidRDefault="006F54DF">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6F54DF" w:rsidRDefault="006F54DF">
      <w:pPr>
        <w:ind w:right="300"/>
        <w:rPr>
          <w:rFonts w:ascii="Times New Roman" w:eastAsia="仿宋_GB2312" w:hAnsi="Times New Roman"/>
          <w:sz w:val="30"/>
          <w:szCs w:val="30"/>
        </w:rPr>
      </w:pPr>
    </w:p>
    <w:p w:rsidR="006F54DF" w:rsidRDefault="006F54DF">
      <w:pPr>
        <w:pStyle w:val="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6F54DF" w:rsidRDefault="006F54DF" w:rsidP="00337372">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项目名称：境内机构外债、对外或有负债、外债转贷款审批、登记及履约核准；</w:t>
      </w:r>
    </w:p>
    <w:p w:rsidR="006F54DF" w:rsidRDefault="006F54DF" w:rsidP="00337372">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57006</w:t>
      </w:r>
      <w:r>
        <w:rPr>
          <w:rFonts w:ascii="Times New Roman" w:eastAsia="仿宋_GB2312" w:hAnsi="Times New Roman" w:hint="eastAsia"/>
          <w:sz w:val="30"/>
          <w:szCs w:val="30"/>
        </w:rPr>
        <w:t>；</w:t>
      </w:r>
    </w:p>
    <w:p w:rsidR="006F54DF" w:rsidRDefault="006F54DF" w:rsidP="00337372">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6F54DF" w:rsidRDefault="006F54DF" w:rsidP="00337372">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6F54DF" w:rsidRDefault="006F54DF">
      <w:pPr>
        <w:numPr>
          <w:ilvl w:val="0"/>
          <w:numId w:val="1"/>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适用范围</w:t>
      </w:r>
    </w:p>
    <w:p w:rsidR="006F54DF" w:rsidRDefault="006F54DF">
      <w:pPr>
        <w:adjustRightInd w:val="0"/>
        <w:snapToGrid w:val="0"/>
        <w:spacing w:line="360" w:lineRule="auto"/>
        <w:rPr>
          <w:rFonts w:ascii="Times New Roman" w:eastAsia="黑体"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境内机构外债、对外或有负债、外债转贷款审批、登记及履约核准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6F54DF" w:rsidRDefault="006F54DF">
      <w:pPr>
        <w:numPr>
          <w:ilvl w:val="0"/>
          <w:numId w:val="2"/>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设定依据</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号）第十八条：</w:t>
      </w:r>
      <w:r>
        <w:rPr>
          <w:rFonts w:ascii="Times New Roman" w:eastAsia="仿宋_GB2312" w:hAnsi="Times New Roman"/>
          <w:sz w:val="30"/>
          <w:szCs w:val="30"/>
        </w:rPr>
        <w:t>“</w:t>
      </w:r>
      <w:r>
        <w:rPr>
          <w:rFonts w:ascii="Times New Roman" w:eastAsia="仿宋_GB2312" w:hAnsi="Times New Roman" w:hint="eastAsia"/>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号）第十九条：</w:t>
      </w:r>
      <w:r>
        <w:rPr>
          <w:rFonts w:ascii="Times New Roman" w:eastAsia="仿宋_GB2312" w:hAnsi="Times New Roman"/>
          <w:sz w:val="30"/>
          <w:szCs w:val="30"/>
        </w:rPr>
        <w:t>“</w:t>
      </w:r>
      <w:r>
        <w:rPr>
          <w:rFonts w:ascii="Times New Roman" w:eastAsia="仿宋_GB2312" w:hAnsi="Times New Roman" w:hint="eastAsia"/>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471</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境内机构外债、外债转贷款、对外担保履约核准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485</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6F54DF" w:rsidRDefault="006F54DF">
      <w:pPr>
        <w:adjustRightInd w:val="0"/>
        <w:snapToGrid w:val="0"/>
        <w:spacing w:line="360" w:lineRule="auto"/>
        <w:ind w:firstLine="585"/>
        <w:rPr>
          <w:rFonts w:ascii="Times New Roman" w:hAnsi="Times New Roman"/>
        </w:rPr>
      </w:pPr>
      <w:r>
        <w:rPr>
          <w:rFonts w:ascii="Times New Roman" w:eastAsia="仿宋_GB2312" w:hAnsi="Times New Roman" w:hint="eastAsia"/>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hint="eastAsia"/>
          <w:sz w:val="30"/>
          <w:szCs w:val="30"/>
        </w:rPr>
        <w:t>。</w:t>
      </w:r>
    </w:p>
    <w:p w:rsidR="006F54DF" w:rsidRDefault="006F54DF" w:rsidP="00337372">
      <w:pPr>
        <w:pStyle w:val="Heading1"/>
        <w:adjustRightInd w:val="0"/>
        <w:snapToGrid w:val="0"/>
        <w:spacing w:line="360" w:lineRule="auto"/>
        <w:ind w:firstLine="31680"/>
        <w:rPr>
          <w:rFonts w:ascii="Times New Roman" w:hAnsi="Times New Roman" w:cs="Times New Roman"/>
          <w:color w:val="auto"/>
        </w:rPr>
      </w:pPr>
      <w:r>
        <w:rPr>
          <w:rFonts w:ascii="Times New Roman" w:cs="Times New Roman" w:hint="eastAsia"/>
          <w:color w:val="auto"/>
        </w:rPr>
        <w:t>四、外保内贷履约外债登记</w:t>
      </w:r>
    </w:p>
    <w:p w:rsidR="006F54DF" w:rsidRDefault="006F54DF">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《国家外汇管理局关于发布〈外债登记管理办法〉的通知》（汇发〔</w:t>
      </w:r>
      <w:r>
        <w:rPr>
          <w:rFonts w:ascii="Times New Roman" w:eastAsia="仿宋_GB2312" w:hAnsi="Times New Roman"/>
          <w:sz w:val="30"/>
          <w:szCs w:val="30"/>
        </w:rPr>
        <w:t>2013</w:t>
      </w:r>
      <w:r>
        <w:rPr>
          <w:rFonts w:ascii="Times New Roman" w:eastAsia="仿宋_GB2312" w:hAnsi="Times New Roman" w:hint="eastAsia"/>
          <w:sz w:val="30"/>
          <w:szCs w:val="30"/>
        </w:rPr>
        <w:t>〕</w:t>
      </w:r>
      <w:r>
        <w:rPr>
          <w:rFonts w:ascii="Times New Roman" w:eastAsia="仿宋_GB2312" w:hAnsi="Times New Roman"/>
          <w:sz w:val="30"/>
          <w:szCs w:val="30"/>
        </w:rPr>
        <w:t>19</w:t>
      </w:r>
      <w:r>
        <w:rPr>
          <w:rFonts w:ascii="Times New Roman" w:eastAsia="仿宋_GB2312" w:hAnsi="Times New Roman" w:hint="eastAsia"/>
          <w:sz w:val="30"/>
          <w:szCs w:val="30"/>
        </w:rPr>
        <w:t>号）。</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29</w:t>
      </w:r>
      <w:r>
        <w:rPr>
          <w:rFonts w:ascii="Times New Roman" w:eastAsia="仿宋_GB2312" w:hAnsi="Times New Roman" w:hint="eastAsia"/>
          <w:sz w:val="30"/>
          <w:szCs w:val="30"/>
        </w:rPr>
        <w:t>号）。</w:t>
      </w:r>
    </w:p>
    <w:p w:rsidR="006F54DF" w:rsidRDefault="006F54DF" w:rsidP="00337372">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（二）受理机构</w:t>
      </w:r>
    </w:p>
    <w:p w:rsidR="006F54DF" w:rsidRDefault="006F54DF" w:rsidP="00337372">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6F54DF" w:rsidRDefault="006F54DF" w:rsidP="00337372">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（三）决定机构</w:t>
      </w:r>
    </w:p>
    <w:p w:rsidR="006F54DF" w:rsidRDefault="006F54DF" w:rsidP="00337372">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6F54DF" w:rsidRDefault="006F54DF" w:rsidP="00337372">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（四）审批数量</w:t>
      </w:r>
    </w:p>
    <w:p w:rsidR="006F54DF" w:rsidRDefault="006F54DF" w:rsidP="00337372">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hint="eastAsia"/>
          <w:sz w:val="30"/>
          <w:szCs w:val="30"/>
        </w:rPr>
        <w:t>无数量限制，按全口径跨境融资宏观审慎或</w:t>
      </w:r>
      <w:r>
        <w:rPr>
          <w:rFonts w:ascii="Times New Roman" w:eastAsia="仿宋_GB2312" w:hAnsi="Times New Roman"/>
          <w:sz w:val="30"/>
          <w:szCs w:val="30"/>
        </w:rPr>
        <w:t>“</w:t>
      </w:r>
      <w:r>
        <w:rPr>
          <w:rFonts w:ascii="Times New Roman" w:eastAsia="仿宋_GB2312" w:hAnsi="Times New Roman" w:hint="eastAsia"/>
          <w:sz w:val="30"/>
          <w:szCs w:val="30"/>
        </w:rPr>
        <w:t>投注差</w:t>
      </w:r>
      <w:r>
        <w:rPr>
          <w:rFonts w:ascii="Times New Roman" w:eastAsia="仿宋_GB2312" w:hAnsi="Times New Roman"/>
          <w:sz w:val="30"/>
          <w:szCs w:val="30"/>
        </w:rPr>
        <w:t>”</w:t>
      </w:r>
      <w:r>
        <w:rPr>
          <w:rFonts w:ascii="Times New Roman" w:eastAsia="仿宋_GB2312" w:hAnsi="Times New Roman" w:hint="eastAsia"/>
          <w:sz w:val="30"/>
          <w:szCs w:val="30"/>
        </w:rPr>
        <w:t>模式管理。</w:t>
      </w:r>
    </w:p>
    <w:p w:rsidR="006F54DF" w:rsidRDefault="006F54DF" w:rsidP="00337372">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（五）办事条件</w:t>
      </w:r>
    </w:p>
    <w:p w:rsidR="006F54DF" w:rsidRDefault="006F54DF" w:rsidP="00337372">
      <w:pPr>
        <w:widowControl/>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外保内贷业务发生境外担保履约的，境内债务人应在担保履约后</w:t>
      </w:r>
      <w:r>
        <w:rPr>
          <w:rFonts w:ascii="Times New Roman" w:eastAsia="仿宋_GB2312" w:hAnsi="Times New Roman"/>
          <w:kern w:val="0"/>
          <w:sz w:val="30"/>
          <w:szCs w:val="30"/>
        </w:rPr>
        <w:t>15</w:t>
      </w:r>
      <w:r>
        <w:rPr>
          <w:rFonts w:ascii="Times New Roman" w:eastAsia="仿宋_GB2312" w:hAnsi="Times New Roman" w:hint="eastAsia"/>
          <w:kern w:val="0"/>
          <w:sz w:val="30"/>
          <w:szCs w:val="30"/>
        </w:rPr>
        <w:t>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rsidR="006F54DF" w:rsidRDefault="006F54DF" w:rsidP="00337372">
      <w:pPr>
        <w:widowControl/>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sz w:val="30"/>
          <w:szCs w:val="30"/>
        </w:rPr>
        <w:t>禁止性要求：如符合上述条件，不存在不予许可的情况。</w:t>
      </w:r>
    </w:p>
    <w:p w:rsidR="006F54DF" w:rsidRDefault="006F54DF" w:rsidP="00337372">
      <w:pPr>
        <w:adjustRightIn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p w:rsidR="006F54DF" w:rsidRDefault="006F54DF" w:rsidP="00337372">
      <w:pPr>
        <w:widowControl/>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外保内贷履约外债登记申请材料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475"/>
        <w:gridCol w:w="952"/>
        <w:gridCol w:w="457"/>
        <w:gridCol w:w="844"/>
        <w:gridCol w:w="565"/>
        <w:gridCol w:w="696"/>
      </w:tblGrid>
      <w:tr w:rsidR="006F54DF" w:rsidRPr="002C2613">
        <w:tc>
          <w:tcPr>
            <w:tcW w:w="533"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475"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52"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44"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5"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696" w:type="dxa"/>
            <w:vAlign w:val="center"/>
          </w:tcPr>
          <w:p w:rsidR="006F54DF" w:rsidRDefault="006F54DF">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F54DF" w:rsidRPr="002C2613">
        <w:trPr>
          <w:trHeight w:val="1035"/>
        </w:trPr>
        <w:tc>
          <w:tcPr>
            <w:tcW w:w="533" w:type="dxa"/>
            <w:vAlign w:val="center"/>
          </w:tcPr>
          <w:p w:rsidR="006F54DF" w:rsidRDefault="006F54DF">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475"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52"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457"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4"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5" w:type="dxa"/>
            <w:vAlign w:val="center"/>
          </w:tcPr>
          <w:p w:rsidR="006F54DF" w:rsidRDefault="006F54DF">
            <w:pPr>
              <w:keepNext/>
              <w:keepLines/>
              <w:spacing w:before="340" w:after="330" w:line="578" w:lineRule="auto"/>
              <w:jc w:val="left"/>
              <w:rPr>
                <w:rFonts w:ascii="Times New Roman" w:eastAsia="仿宋_GB2312" w:hAnsi="Times New Roman"/>
                <w:sz w:val="24"/>
                <w:szCs w:val="24"/>
              </w:rPr>
            </w:pPr>
          </w:p>
        </w:tc>
        <w:tc>
          <w:tcPr>
            <w:tcW w:w="696" w:type="dxa"/>
            <w:vAlign w:val="center"/>
          </w:tcPr>
          <w:p w:rsidR="006F54DF" w:rsidRDefault="006F54DF">
            <w:pPr>
              <w:jc w:val="left"/>
              <w:rPr>
                <w:rFonts w:ascii="Times New Roman" w:eastAsia="仿宋_GB2312" w:hAnsi="Times New Roman"/>
                <w:sz w:val="24"/>
                <w:szCs w:val="24"/>
              </w:rPr>
            </w:pPr>
          </w:p>
        </w:tc>
      </w:tr>
      <w:tr w:rsidR="006F54DF" w:rsidRPr="002C2613">
        <w:trPr>
          <w:trHeight w:val="378"/>
        </w:trPr>
        <w:tc>
          <w:tcPr>
            <w:tcW w:w="533" w:type="dxa"/>
            <w:vAlign w:val="center"/>
          </w:tcPr>
          <w:p w:rsidR="006F54DF" w:rsidRDefault="006F54DF">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475" w:type="dxa"/>
            <w:vAlign w:val="center"/>
          </w:tcPr>
          <w:p w:rsidR="006F54DF" w:rsidRDefault="006F54DF">
            <w:pPr>
              <w:jc w:val="left"/>
              <w:rPr>
                <w:rFonts w:ascii="Times New Roman" w:eastAsia="仿宋_GB2312" w:hAnsi="Times New Roman"/>
                <w:kern w:val="0"/>
                <w:sz w:val="24"/>
                <w:szCs w:val="24"/>
              </w:rPr>
            </w:pPr>
            <w:r>
              <w:rPr>
                <w:rFonts w:ascii="Times New Roman" w:eastAsia="仿宋_GB2312" w:hAnsi="Times New Roman" w:hint="eastAsia"/>
                <w:kern w:val="0"/>
                <w:sz w:val="24"/>
              </w:rPr>
              <w:t>担保履约证明文件</w:t>
            </w:r>
          </w:p>
        </w:tc>
        <w:tc>
          <w:tcPr>
            <w:tcW w:w="952"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4"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5" w:type="dxa"/>
            <w:vAlign w:val="center"/>
          </w:tcPr>
          <w:p w:rsidR="006F54DF" w:rsidRDefault="006F54DF">
            <w:pPr>
              <w:jc w:val="left"/>
              <w:rPr>
                <w:rFonts w:ascii="Times New Roman" w:eastAsia="仿宋_GB2312" w:hAnsi="Times New Roman"/>
                <w:sz w:val="24"/>
                <w:szCs w:val="24"/>
              </w:rPr>
            </w:pPr>
          </w:p>
        </w:tc>
        <w:tc>
          <w:tcPr>
            <w:tcW w:w="696"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6F54DF" w:rsidRPr="002C2613">
        <w:tc>
          <w:tcPr>
            <w:tcW w:w="533" w:type="dxa"/>
            <w:vAlign w:val="center"/>
          </w:tcPr>
          <w:p w:rsidR="006F54DF" w:rsidRDefault="006F54DF">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475" w:type="dxa"/>
            <w:vAlign w:val="center"/>
          </w:tcPr>
          <w:p w:rsidR="006F54DF" w:rsidRDefault="006F54DF">
            <w:pPr>
              <w:widowControl/>
              <w:jc w:val="left"/>
              <w:rPr>
                <w:rFonts w:ascii="Times New Roman" w:eastAsia="仿宋_GB2312" w:hAnsi="Times New Roman"/>
                <w:sz w:val="24"/>
                <w:szCs w:val="24"/>
              </w:rPr>
            </w:pPr>
            <w:r>
              <w:rPr>
                <w:rFonts w:ascii="Times New Roman" w:eastAsia="仿宋_GB2312" w:hAnsi="Times New Roman" w:hint="eastAsia"/>
                <w:kern w:val="0"/>
                <w:sz w:val="24"/>
              </w:rPr>
              <w:t>最近一期经审计的财务报告。选择</w:t>
            </w:r>
            <w:r>
              <w:rPr>
                <w:rFonts w:ascii="Times New Roman" w:eastAsia="仿宋_GB2312" w:hAnsi="Times New Roman"/>
                <w:kern w:val="0"/>
                <w:sz w:val="24"/>
              </w:rPr>
              <w:t>“</w:t>
            </w:r>
            <w:r>
              <w:rPr>
                <w:rFonts w:ascii="Times New Roman" w:eastAsia="仿宋_GB2312" w:hAnsi="Times New Roman" w:hint="eastAsia"/>
                <w:kern w:val="0"/>
                <w:sz w:val="24"/>
              </w:rPr>
              <w:t>投注差</w:t>
            </w:r>
            <w:r>
              <w:rPr>
                <w:rFonts w:ascii="Times New Roman" w:eastAsia="仿宋_GB2312" w:hAnsi="Times New Roman"/>
                <w:kern w:val="0"/>
                <w:sz w:val="24"/>
              </w:rPr>
              <w:t>”</w:t>
            </w:r>
            <w:r>
              <w:rPr>
                <w:rFonts w:ascii="Times New Roman" w:eastAsia="仿宋_GB2312" w:hAnsi="Times New Roman" w:hint="eastAsia"/>
                <w:kern w:val="0"/>
                <w:sz w:val="24"/>
              </w:rPr>
              <w:t>模式借用外债的外商投资企业，还应提供外商投资企业批准证书或商务部业务系统统一平台打印的外商投资企业基本信息页面。</w:t>
            </w:r>
          </w:p>
        </w:tc>
        <w:tc>
          <w:tcPr>
            <w:tcW w:w="952"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4"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5" w:type="dxa"/>
            <w:vAlign w:val="center"/>
          </w:tcPr>
          <w:p w:rsidR="006F54DF" w:rsidRDefault="006F54DF">
            <w:pPr>
              <w:jc w:val="left"/>
              <w:rPr>
                <w:rFonts w:ascii="Times New Roman" w:eastAsia="仿宋_GB2312" w:hAnsi="Times New Roman"/>
                <w:sz w:val="24"/>
                <w:szCs w:val="24"/>
              </w:rPr>
            </w:pPr>
          </w:p>
        </w:tc>
        <w:tc>
          <w:tcPr>
            <w:tcW w:w="696" w:type="dxa"/>
            <w:vAlign w:val="center"/>
          </w:tcPr>
          <w:p w:rsidR="006F54DF" w:rsidRDefault="006F54DF">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6F54DF" w:rsidRDefault="006F54DF" w:rsidP="006F54DF">
      <w:pPr>
        <w:adjustRightIn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6F54DF" w:rsidRDefault="006F54DF" w:rsidP="00337372">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6F54DF" w:rsidRDefault="006F54DF" w:rsidP="00337372">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6F54DF" w:rsidRDefault="006F54DF">
      <w:pPr>
        <w:tabs>
          <w:tab w:val="left" w:pos="615"/>
        </w:tabs>
        <w:adjustRightIn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6F54DF" w:rsidRDefault="006F54DF">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6F54DF" w:rsidRDefault="006F54DF">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6F54DF" w:rsidRDefault="006F54DF">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6F54DF" w:rsidRDefault="006F54DF">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6F54DF" w:rsidRDefault="006F54DF">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6F54DF" w:rsidRDefault="006F54DF">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6F54DF" w:rsidRDefault="006F54DF" w:rsidP="00337372">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6F54DF" w:rsidRDefault="006F54D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6F54DF" w:rsidRDefault="006F54DF" w:rsidP="00337372">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（十一）审批收费依据及标准</w:t>
      </w:r>
    </w:p>
    <w:p w:rsidR="006F54DF" w:rsidRDefault="006F54DF">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6F54DF" w:rsidRDefault="006F54DF" w:rsidP="00337372">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（十二）审批结果</w:t>
      </w:r>
    </w:p>
    <w:p w:rsidR="006F54DF" w:rsidRDefault="006F54DF">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出具相关业务办理凭证。</w:t>
      </w:r>
    </w:p>
    <w:p w:rsidR="006F54DF" w:rsidRDefault="006F54DF">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6F54DF" w:rsidRDefault="006F54DF">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6F54DF" w:rsidRDefault="006F54DF">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6F54DF" w:rsidRDefault="006F54DF">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F54DF" w:rsidRDefault="006F54DF">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6F54DF" w:rsidRPr="001A0F8E" w:rsidRDefault="006F54DF" w:rsidP="00337372">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6F54DF" w:rsidRPr="00337372" w:rsidRDefault="006F54DF">
      <w:pPr>
        <w:adjustRightInd w:val="0"/>
        <w:snapToGrid w:val="0"/>
        <w:spacing w:line="360" w:lineRule="auto"/>
        <w:ind w:firstLine="600"/>
        <w:rPr>
          <w:rFonts w:ascii="Times New Roman" w:eastAsia="仿宋_GB2312" w:hAnsi="Times New Roman"/>
          <w:sz w:val="30"/>
          <w:szCs w:val="30"/>
        </w:rPr>
      </w:pPr>
    </w:p>
    <w:p w:rsidR="006F54DF" w:rsidRDefault="006F54DF" w:rsidP="00337372">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6F54DF" w:rsidTr="00D74030">
        <w:tc>
          <w:tcPr>
            <w:tcW w:w="1966" w:type="dxa"/>
            <w:vAlign w:val="center"/>
          </w:tcPr>
          <w:p w:rsidR="006F54DF" w:rsidRDefault="006F54DF">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6F54DF" w:rsidRDefault="006F54DF">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6F54DF" w:rsidTr="00D74030">
        <w:tc>
          <w:tcPr>
            <w:tcW w:w="1966" w:type="dxa"/>
            <w:vAlign w:val="center"/>
          </w:tcPr>
          <w:p w:rsidR="006F54DF" w:rsidRDefault="006F54DF">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6F54DF" w:rsidRDefault="006F54DF">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6F54DF" w:rsidTr="00D74030">
        <w:tc>
          <w:tcPr>
            <w:tcW w:w="1966" w:type="dxa"/>
            <w:vAlign w:val="center"/>
          </w:tcPr>
          <w:p w:rsidR="006F54DF" w:rsidRDefault="006F54DF">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6F54DF" w:rsidRDefault="006F54DF">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6F54DF" w:rsidTr="00D74030">
        <w:tc>
          <w:tcPr>
            <w:tcW w:w="1966" w:type="dxa"/>
            <w:vAlign w:val="center"/>
          </w:tcPr>
          <w:p w:rsidR="006F54DF" w:rsidRDefault="006F54DF">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6F54DF" w:rsidRDefault="006F54DF">
            <w:pPr>
              <w:adjustRightInd w:val="0"/>
              <w:snapToGrid w:val="0"/>
              <w:rPr>
                <w:rFonts w:ascii="仿宋_GB2312" w:eastAsia="仿宋_GB2312" w:hAnsi="宋体"/>
                <w:szCs w:val="21"/>
              </w:rPr>
            </w:pPr>
            <w:r>
              <w:rPr>
                <w:rFonts w:ascii="仿宋_GB2312" w:eastAsia="仿宋_GB2312" w:hAnsi="宋体"/>
                <w:szCs w:val="21"/>
              </w:rPr>
              <w:t>0931-8800741</w:t>
            </w:r>
          </w:p>
        </w:tc>
      </w:tr>
      <w:tr w:rsidR="006F54DF" w:rsidTr="00D74030">
        <w:tc>
          <w:tcPr>
            <w:tcW w:w="1966" w:type="dxa"/>
            <w:vAlign w:val="center"/>
          </w:tcPr>
          <w:p w:rsidR="006F54DF" w:rsidRDefault="006F54DF">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6F54DF" w:rsidRDefault="006F54DF">
            <w:pPr>
              <w:adjustRightInd w:val="0"/>
              <w:snapToGrid w:val="0"/>
              <w:rPr>
                <w:rFonts w:ascii="仿宋_GB2312" w:eastAsia="仿宋_GB2312" w:hAnsi="宋体"/>
                <w:szCs w:val="21"/>
              </w:rPr>
            </w:pPr>
            <w:r>
              <w:rPr>
                <w:rFonts w:ascii="仿宋_GB2312" w:eastAsia="仿宋_GB2312" w:hAnsi="宋体"/>
                <w:szCs w:val="21"/>
              </w:rPr>
              <w:t>0931-8800737</w:t>
            </w:r>
          </w:p>
        </w:tc>
      </w:tr>
    </w:tbl>
    <w:p w:rsidR="006F54DF" w:rsidRDefault="006F54DF" w:rsidP="006F54DF">
      <w:pPr>
        <w:adjustRightInd w:val="0"/>
        <w:snapToGrid w:val="0"/>
        <w:spacing w:line="360" w:lineRule="auto"/>
        <w:ind w:firstLineChars="200" w:firstLine="31680"/>
        <w:rPr>
          <w:rFonts w:ascii="Times New Roman" w:eastAsia="仿宋_GB2312" w:hAnsi="Times New Roman"/>
          <w:sz w:val="30"/>
          <w:szCs w:val="30"/>
        </w:rPr>
      </w:pPr>
    </w:p>
    <w:p w:rsidR="006F54DF" w:rsidRPr="00D74030" w:rsidRDefault="006F54DF">
      <w:pPr>
        <w:adjustRightInd w:val="0"/>
        <w:snapToGrid w:val="0"/>
        <w:spacing w:line="360" w:lineRule="auto"/>
        <w:ind w:firstLine="600"/>
        <w:rPr>
          <w:rFonts w:ascii="Times New Roman" w:eastAsia="仿宋_GB2312" w:hAnsi="Times New Roman"/>
          <w:sz w:val="30"/>
        </w:rPr>
      </w:pPr>
    </w:p>
    <w:p w:rsidR="006F54DF" w:rsidRDefault="006F54D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6F54DF" w:rsidRDefault="006F54DF">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r>
        <w:rPr>
          <w:noProof/>
        </w:rPr>
        <w:pict>
          <v:group id="组合 170" o:spid="_x0000_s1026" style="position:absolute;left:0;text-align:left;margin-left:-18pt;margin-top:-32.15pt;width:453.65pt;height:586.05pt;z-index:251658240"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6F54DF" w:rsidRDefault="006F54DF">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6F54DF" w:rsidRDefault="006F54DF">
                    <w:pPr>
                      <w:jc w:val="center"/>
                    </w:pPr>
                    <w:r>
                      <w:rPr>
                        <w:rFonts w:hint="eastAsia"/>
                      </w:rPr>
                      <w:t>依法作出不予许可决定，</w:t>
                    </w:r>
                  </w:p>
                  <w:p w:rsidR="006F54DF" w:rsidRDefault="006F54DF">
                    <w:pPr>
                      <w:jc w:val="center"/>
                    </w:pPr>
                    <w:r>
                      <w:rPr>
                        <w:rFonts w:hint="eastAsia"/>
                      </w:rPr>
                      <w:t>并送达</w:t>
                    </w:r>
                  </w:p>
                </w:txbxContent>
              </v:textbox>
            </v:shape>
            <v:shape id="AutoShape 8"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6F54DF" w:rsidRDefault="006F54DF">
                    <w:pPr>
                      <w:jc w:val="center"/>
                    </w:pPr>
                    <w:r>
                      <w:rPr>
                        <w:rFonts w:hint="eastAsia"/>
                      </w:rPr>
                      <w:t>依法予以许可，出具相关</w:t>
                    </w:r>
                  </w:p>
                  <w:p w:rsidR="006F54DF" w:rsidRDefault="006F54D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03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03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6F54DF" w:rsidRDefault="006F54DF">
                        <w:pPr>
                          <w:jc w:val="center"/>
                        </w:pPr>
                        <w:r>
                          <w:rPr>
                            <w:rFonts w:hint="eastAsia"/>
                          </w:rPr>
                          <w:t>不能提供符合受理要求的材料</w:t>
                        </w:r>
                      </w:p>
                    </w:txbxContent>
                  </v:textbox>
                </v:shape>
                <v:shape id="AutoShape 19"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6F54DF" w:rsidRDefault="006F54D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5346;top:7833;width:3637;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6F54DF" w:rsidRDefault="006F54DF">
                        <w:r>
                          <w:rPr>
                            <w:rFonts w:hint="eastAsia"/>
                          </w:rPr>
                          <w:t>申请人补充材料</w:t>
                        </w:r>
                      </w:p>
                    </w:txbxContent>
                  </v:textbox>
                </v:shape>
                <v:rect id="Rectangle 22"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6F54DF" w:rsidRDefault="006F54DF">
                        <w:pPr>
                          <w:jc w:val="center"/>
                        </w:pPr>
                        <w:r>
                          <w:rPr>
                            <w:rFonts w:hint="eastAsia"/>
                          </w:rPr>
                          <w:t>依法应予受理，出具行政审批受理单</w:t>
                        </w:r>
                      </w:p>
                      <w:p w:rsidR="006F54DF" w:rsidRDefault="006F54DF">
                        <w:pPr>
                          <w:jc w:val="center"/>
                        </w:pPr>
                      </w:p>
                    </w:txbxContent>
                  </v:textbox>
                </v:rect>
                <v:rect id="Rectangle 23"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6F54DF" w:rsidRDefault="006F54DF">
                        <w:pPr>
                          <w:jc w:val="center"/>
                        </w:pPr>
                        <w:r>
                          <w:rPr>
                            <w:rFonts w:hint="eastAsia"/>
                          </w:rPr>
                          <w:t>材料不全或不符合法定形式的，一次性告知补正材料，</w:t>
                        </w:r>
                      </w:p>
                      <w:p w:rsidR="006F54DF" w:rsidRDefault="006F54DF">
                        <w:pPr>
                          <w:jc w:val="center"/>
                        </w:pPr>
                        <w:r>
                          <w:rPr>
                            <w:rFonts w:hint="eastAsia"/>
                          </w:rPr>
                          <w:t>出具行政审批补正材料通知书</w:t>
                        </w:r>
                      </w:p>
                      <w:p w:rsidR="006F54DF" w:rsidRDefault="006F54DF"/>
                    </w:txbxContent>
                  </v:textbox>
                </v:rect>
                <v:shape id="AutoShape 24" o:spid="_x0000_s1045" type="#_x0000_t116" style="position:absolute;left:5913;top:4050;width:2922;height: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6F54DF" w:rsidRDefault="006F54DF">
                        <w:pPr>
                          <w:jc w:val="center"/>
                        </w:pPr>
                        <w:r>
                          <w:rPr>
                            <w:rFonts w:hint="eastAsia"/>
                          </w:rPr>
                          <w:t>依法不予受理的，作出不予受理决定，出具不予受理行政审批申请通知书</w:t>
                        </w:r>
                      </w:p>
                      <w:p w:rsidR="006F54DF" w:rsidRDefault="006F54DF">
                        <w:pPr>
                          <w:jc w:val="center"/>
                        </w:pPr>
                      </w:p>
                    </w:txbxContent>
                  </v:textbox>
                </v:shape>
                <v:group id="Group 25" o:spid="_x0000_s104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049"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051" type="#_x0000_t32" style="position:absolute;left:4188;top:5967;width:788;height:26;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052" type="#_x0000_t4" style="position:absolute;left:1195;top:4919;width:2993;height: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6F54DF" w:rsidRDefault="006F54DF">
                            <w:r>
                              <w:rPr>
                                <w:rFonts w:hint="eastAsia"/>
                              </w:rPr>
                              <w:t>接件（</w:t>
                            </w:r>
                            <w:r>
                              <w:t>5</w:t>
                            </w:r>
                            <w:r>
                              <w:rPr>
                                <w:rFonts w:hint="eastAsia"/>
                              </w:rPr>
                              <w:t>个工作日）作出是否受理决定</w:t>
                            </w:r>
                          </w:p>
                          <w:p w:rsidR="006F54DF" w:rsidRDefault="006F54DF"/>
                        </w:txbxContent>
                      </v:textbox>
                    </v:shape>
                    <v:shape id="AutoShape 32"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6F54DF" w:rsidRDefault="006F54DF">
                            <w:pPr>
                              <w:jc w:val="center"/>
                            </w:pPr>
                            <w:r>
                              <w:rPr>
                                <w:rFonts w:hint="eastAsia"/>
                              </w:rPr>
                              <w:t>申请人提出书面申请，并提交材料</w:t>
                            </w:r>
                          </w:p>
                        </w:txbxContent>
                      </v:textbox>
                    </v:shape>
                  </v:group>
                  <v:shape id="AutoShape 33"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6F54DF" w:rsidRDefault="006F54DF">
                          <w:r>
                            <w:rPr>
                              <w:rFonts w:hint="eastAsia"/>
                            </w:rPr>
                            <w:t>是</w:t>
                          </w:r>
                        </w:p>
                      </w:txbxContent>
                    </v:textbox>
                  </v:shape>
                  <v:shape id="Text Box 37"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6F54DF" w:rsidRDefault="006F54DF">
                          <w:r>
                            <w:rPr>
                              <w:rFonts w:hint="eastAsia"/>
                            </w:rPr>
                            <w:t>否</w:t>
                          </w:r>
                        </w:p>
                      </w:txbxContent>
                    </v:textbox>
                  </v:shape>
                </v:group>
                <v:shape id="AutoShape 38" o:spid="_x0000_s1059" type="#_x0000_t32" style="position:absolute;left:8927;top:4886;width:1341;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6F54DF" w:rsidRDefault="006F54DF">
      <w:pPr>
        <w:ind w:right="300"/>
        <w:jc w:val="center"/>
        <w:rPr>
          <w:rFonts w:ascii="Times New Roman" w:eastAsia="仿宋_GB2312" w:hAnsi="Times New Roman"/>
          <w:sz w:val="30"/>
          <w:szCs w:val="30"/>
        </w:rPr>
      </w:pPr>
    </w:p>
    <w:p w:rsidR="006F54DF" w:rsidRDefault="006F54DF">
      <w:pPr>
        <w:ind w:right="300"/>
        <w:jc w:val="center"/>
        <w:rPr>
          <w:rFonts w:ascii="Times New Roman" w:eastAsia="仿宋_GB2312" w:hAnsi="Times New Roman"/>
          <w:sz w:val="30"/>
          <w:szCs w:val="30"/>
        </w:rPr>
      </w:pPr>
    </w:p>
    <w:p w:rsidR="006F54DF" w:rsidRDefault="006F54DF">
      <w:pPr>
        <w:ind w:right="300"/>
        <w:jc w:val="left"/>
        <w:rPr>
          <w:rFonts w:ascii="Times New Roman" w:eastAsia="仿宋_GB2312" w:hAnsi="Times New Roman"/>
          <w:sz w:val="30"/>
          <w:szCs w:val="30"/>
        </w:rPr>
      </w:pPr>
    </w:p>
    <w:p w:rsidR="006F54DF" w:rsidRDefault="006F54DF" w:rsidP="00337372">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6F54DF" w:rsidRDefault="006F54DF">
      <w:pPr>
        <w:ind w:firstLine="420"/>
        <w:rPr>
          <w:rFonts w:ascii="Times New Roman" w:hAnsi="Times New Roman"/>
        </w:rPr>
      </w:pPr>
    </w:p>
    <w:p w:rsidR="006F54DF" w:rsidRDefault="006F54DF" w:rsidP="00D74030">
      <w:pPr>
        <w:adjustRightInd w:val="0"/>
        <w:snapToGrid w:val="0"/>
        <w:spacing w:line="360" w:lineRule="auto"/>
        <w:rPr>
          <w:rFonts w:ascii="Times New Roman" w:eastAsia="仿宋_GB2312" w:hAnsi="Times New Roman"/>
          <w:sz w:val="30"/>
          <w:szCs w:val="30"/>
        </w:rPr>
      </w:pPr>
      <w:r>
        <w:rPr>
          <w:rFonts w:ascii="Times New Roman" w:eastAsia="仿宋_GB2312" w:hAnsi="Times New Roman"/>
          <w:kern w:val="0"/>
          <w:sz w:val="30"/>
          <w:szCs w:val="30"/>
        </w:rPr>
        <w:br w:type="page"/>
      </w:r>
      <w:r>
        <w:rPr>
          <w:rFonts w:ascii="Times New Roman" w:eastAsia="仿宋_GB2312" w:hAnsi="Times New Roman" w:hint="eastAsia"/>
          <w:sz w:val="30"/>
          <w:szCs w:val="30"/>
        </w:rPr>
        <w:t>附录二</w:t>
      </w:r>
    </w:p>
    <w:p w:rsidR="006F54DF" w:rsidRDefault="006F54DF">
      <w:pPr>
        <w:rPr>
          <w:rFonts w:ascii="Times New Roman" w:eastAsia="仿宋_GB2312" w:hAnsi="Times New Roman"/>
          <w:sz w:val="30"/>
          <w:szCs w:val="30"/>
        </w:rPr>
      </w:pPr>
      <w:r>
        <w:rPr>
          <w:rFonts w:ascii="Times New Roman" w:eastAsia="仿宋_GB2312" w:hAnsi="Times New Roman"/>
          <w:sz w:val="30"/>
          <w:szCs w:val="30"/>
        </w:rPr>
        <w:t xml:space="preserve">             </w:t>
      </w:r>
    </w:p>
    <w:p w:rsidR="006F54DF" w:rsidRDefault="006F54DF">
      <w:pPr>
        <w:jc w:val="center"/>
        <w:rPr>
          <w:rFonts w:ascii="Times New Roman" w:eastAsia="黑体" w:hAnsi="黑体"/>
          <w:sz w:val="30"/>
          <w:szCs w:val="30"/>
        </w:rPr>
      </w:pPr>
      <w:r>
        <w:rPr>
          <w:rFonts w:ascii="Times New Roman" w:eastAsia="黑体" w:hAnsi="黑体" w:hint="eastAsia"/>
          <w:sz w:val="30"/>
          <w:szCs w:val="30"/>
        </w:rPr>
        <w:t>常见问题</w:t>
      </w:r>
    </w:p>
    <w:p w:rsidR="006F54DF" w:rsidRDefault="006F54DF">
      <w:pPr>
        <w:jc w:val="center"/>
        <w:rPr>
          <w:rFonts w:ascii="Times New Roman" w:eastAsia="黑体" w:hAnsi="Times New Roman"/>
          <w:sz w:val="30"/>
          <w:szCs w:val="30"/>
        </w:rPr>
      </w:pPr>
    </w:p>
    <w:p w:rsidR="006F54DF" w:rsidRDefault="006F54DF">
      <w:pP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问：境内债务人因外保内贷项下担保履约形成的对外负债会对企业有什么影响？</w:t>
      </w:r>
    </w:p>
    <w:p w:rsidR="006F54DF" w:rsidRDefault="006F54DF">
      <w:pP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rsidR="006F54DF" w:rsidSect="001D6441">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DF" w:rsidRDefault="006F54DF" w:rsidP="001D6441">
      <w:r>
        <w:separator/>
      </w:r>
    </w:p>
  </w:endnote>
  <w:endnote w:type="continuationSeparator" w:id="0">
    <w:p w:rsidR="006F54DF" w:rsidRDefault="006F54DF" w:rsidP="001D6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DF" w:rsidRDefault="006F54DF">
    <w:pPr>
      <w:pStyle w:val="Footer"/>
      <w:jc w:val="center"/>
    </w:pPr>
    <w:fldSimple w:instr=" PAGE   \* MERGEFORMAT ">
      <w:r w:rsidRPr="00337372">
        <w:rPr>
          <w:noProof/>
          <w:lang w:val="zh-CN"/>
        </w:rPr>
        <w:t>8</w:t>
      </w:r>
    </w:fldSimple>
  </w:p>
  <w:p w:rsidR="006F54DF" w:rsidRDefault="006F5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DF" w:rsidRDefault="006F54DF" w:rsidP="001D6441">
      <w:r>
        <w:separator/>
      </w:r>
    </w:p>
  </w:footnote>
  <w:footnote w:type="continuationSeparator" w:id="0">
    <w:p w:rsidR="006F54DF" w:rsidRDefault="006F54DF" w:rsidP="001D6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DF" w:rsidRDefault="006F54D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DF" w:rsidRDefault="006F54D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rPr>
        <w:rFonts w:cs="Times New Roman"/>
      </w:rPr>
    </w:lvl>
  </w:abstractNum>
  <w:abstractNum w:abstractNumId="1">
    <w:nsid w:val="5A10F1E0"/>
    <w:multiLevelType w:val="singleLevel"/>
    <w:tmpl w:val="5A10F1E0"/>
    <w:lvl w:ilvl="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5DA"/>
    <w:rsid w:val="00001C4F"/>
    <w:rsid w:val="000059CA"/>
    <w:rsid w:val="000B7295"/>
    <w:rsid w:val="000E63A5"/>
    <w:rsid w:val="001A0F8E"/>
    <w:rsid w:val="001D6441"/>
    <w:rsid w:val="001D7F08"/>
    <w:rsid w:val="0021653C"/>
    <w:rsid w:val="002C2613"/>
    <w:rsid w:val="002C6C8D"/>
    <w:rsid w:val="002E4C09"/>
    <w:rsid w:val="00336A2E"/>
    <w:rsid w:val="00337372"/>
    <w:rsid w:val="0034693A"/>
    <w:rsid w:val="003553D6"/>
    <w:rsid w:val="0038340C"/>
    <w:rsid w:val="0039521E"/>
    <w:rsid w:val="003E46F2"/>
    <w:rsid w:val="00420920"/>
    <w:rsid w:val="0042522C"/>
    <w:rsid w:val="0048158F"/>
    <w:rsid w:val="004930EB"/>
    <w:rsid w:val="00554FA8"/>
    <w:rsid w:val="005A69A3"/>
    <w:rsid w:val="00605CC9"/>
    <w:rsid w:val="00624074"/>
    <w:rsid w:val="00631264"/>
    <w:rsid w:val="00643652"/>
    <w:rsid w:val="00692FB7"/>
    <w:rsid w:val="0069618D"/>
    <w:rsid w:val="006B35CF"/>
    <w:rsid w:val="006F1133"/>
    <w:rsid w:val="006F54DF"/>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03F95"/>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74030"/>
    <w:rsid w:val="00D845DA"/>
    <w:rsid w:val="00DC7DB0"/>
    <w:rsid w:val="00DD5AA0"/>
    <w:rsid w:val="00DE0AC1"/>
    <w:rsid w:val="00DF4380"/>
    <w:rsid w:val="00E03D33"/>
    <w:rsid w:val="00E0580B"/>
    <w:rsid w:val="00E972E3"/>
    <w:rsid w:val="00F17EFA"/>
    <w:rsid w:val="00F5601D"/>
    <w:rsid w:val="00FA003D"/>
    <w:rsid w:val="00FF61B3"/>
    <w:rsid w:val="24E171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6441"/>
    <w:pPr>
      <w:widowControl w:val="0"/>
      <w:jc w:val="both"/>
    </w:pPr>
  </w:style>
  <w:style w:type="paragraph" w:styleId="Heading1">
    <w:name w:val="heading 1"/>
    <w:basedOn w:val="Normal"/>
    <w:next w:val="Normal"/>
    <w:link w:val="Heading1Char"/>
    <w:uiPriority w:val="99"/>
    <w:qFormat/>
    <w:rsid w:val="001D6441"/>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1D6441"/>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1D6441"/>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441"/>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1D6441"/>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1D6441"/>
    <w:rPr>
      <w:rFonts w:ascii="仿宋_GB2312" w:eastAsia="仿宋_GB2312" w:hAnsi="Calibri" w:cs="Times New Roman"/>
      <w:sz w:val="30"/>
      <w:szCs w:val="30"/>
    </w:rPr>
  </w:style>
  <w:style w:type="paragraph" w:styleId="DocumentMap">
    <w:name w:val="Document Map"/>
    <w:basedOn w:val="Normal"/>
    <w:link w:val="DocumentMapChar"/>
    <w:uiPriority w:val="99"/>
    <w:rsid w:val="001D6441"/>
    <w:rPr>
      <w:rFonts w:ascii="宋体"/>
      <w:sz w:val="18"/>
      <w:szCs w:val="18"/>
    </w:rPr>
  </w:style>
  <w:style w:type="character" w:customStyle="1" w:styleId="DocumentMapChar">
    <w:name w:val="Document Map Char"/>
    <w:basedOn w:val="DefaultParagraphFont"/>
    <w:link w:val="DocumentMap"/>
    <w:uiPriority w:val="99"/>
    <w:locked/>
    <w:rsid w:val="001D6441"/>
    <w:rPr>
      <w:rFonts w:ascii="宋体" w:cs="Times New Roman"/>
      <w:sz w:val="18"/>
      <w:szCs w:val="18"/>
    </w:rPr>
  </w:style>
  <w:style w:type="paragraph" w:styleId="CommentText">
    <w:name w:val="annotation text"/>
    <w:basedOn w:val="Normal"/>
    <w:link w:val="CommentTextChar"/>
    <w:uiPriority w:val="99"/>
    <w:rsid w:val="001D6441"/>
    <w:pPr>
      <w:jc w:val="left"/>
    </w:pPr>
  </w:style>
  <w:style w:type="character" w:customStyle="1" w:styleId="CommentTextChar">
    <w:name w:val="Comment Text Char"/>
    <w:basedOn w:val="DefaultParagraphFont"/>
    <w:link w:val="CommentText"/>
    <w:uiPriority w:val="99"/>
    <w:locked/>
    <w:rsid w:val="001D6441"/>
    <w:rPr>
      <w:rFonts w:ascii="Calibri" w:eastAsia="宋体" w:hAnsi="Calibri" w:cs="Times New Roman"/>
    </w:rPr>
  </w:style>
  <w:style w:type="paragraph" w:styleId="BalloonText">
    <w:name w:val="Balloon Text"/>
    <w:basedOn w:val="Normal"/>
    <w:link w:val="BalloonTextChar"/>
    <w:uiPriority w:val="99"/>
    <w:rsid w:val="001D6441"/>
    <w:rPr>
      <w:sz w:val="18"/>
      <w:szCs w:val="18"/>
    </w:rPr>
  </w:style>
  <w:style w:type="character" w:customStyle="1" w:styleId="BalloonTextChar">
    <w:name w:val="Balloon Text Char"/>
    <w:basedOn w:val="DefaultParagraphFont"/>
    <w:link w:val="BalloonText"/>
    <w:uiPriority w:val="99"/>
    <w:locked/>
    <w:rsid w:val="001D6441"/>
    <w:rPr>
      <w:rFonts w:cs="Times New Roman"/>
      <w:sz w:val="18"/>
      <w:szCs w:val="18"/>
    </w:rPr>
  </w:style>
  <w:style w:type="paragraph" w:styleId="Footer">
    <w:name w:val="footer"/>
    <w:basedOn w:val="Normal"/>
    <w:link w:val="FooterChar"/>
    <w:uiPriority w:val="99"/>
    <w:rsid w:val="001D64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6441"/>
    <w:rPr>
      <w:rFonts w:cs="Times New Roman"/>
      <w:sz w:val="18"/>
      <w:szCs w:val="18"/>
    </w:rPr>
  </w:style>
  <w:style w:type="paragraph" w:styleId="Header">
    <w:name w:val="header"/>
    <w:basedOn w:val="Normal"/>
    <w:link w:val="HeaderChar"/>
    <w:uiPriority w:val="99"/>
    <w:rsid w:val="001D64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D6441"/>
    <w:rPr>
      <w:rFonts w:cs="Times New Roman"/>
      <w:sz w:val="18"/>
      <w:szCs w:val="18"/>
    </w:rPr>
  </w:style>
  <w:style w:type="paragraph" w:styleId="FootnoteText">
    <w:name w:val="footnote text"/>
    <w:basedOn w:val="Normal"/>
    <w:link w:val="FootnoteTextChar"/>
    <w:uiPriority w:val="99"/>
    <w:semiHidden/>
    <w:rsid w:val="001D6441"/>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1D6441"/>
    <w:rPr>
      <w:rFonts w:ascii="Times New Roman" w:hAnsi="Times New Roman" w:cs="Times New Roman"/>
      <w:sz w:val="18"/>
      <w:szCs w:val="18"/>
    </w:rPr>
  </w:style>
  <w:style w:type="paragraph" w:styleId="HTMLPreformatted">
    <w:name w:val="HTML Preformatted"/>
    <w:basedOn w:val="Normal"/>
    <w:link w:val="HTMLPreformattedChar"/>
    <w:uiPriority w:val="99"/>
    <w:rsid w:val="001D64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1D6441"/>
    <w:rPr>
      <w:rFonts w:ascii="宋体" w:eastAsia="宋体" w:hAnsi="宋体" w:cs="宋体"/>
      <w:kern w:val="0"/>
      <w:sz w:val="24"/>
      <w:szCs w:val="24"/>
    </w:rPr>
  </w:style>
  <w:style w:type="paragraph" w:styleId="NormalWeb">
    <w:name w:val="Normal (Web)"/>
    <w:basedOn w:val="Normal"/>
    <w:uiPriority w:val="99"/>
    <w:rsid w:val="001D6441"/>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D6441"/>
    <w:rPr>
      <w:rFonts w:ascii="??" w:hAnsi="??" w:cs="Times New Roman"/>
      <w:color w:val="0453CC"/>
      <w:sz w:val="20"/>
      <w:szCs w:val="20"/>
      <w:u w:val="none"/>
    </w:rPr>
  </w:style>
  <w:style w:type="character" w:styleId="FootnoteReference">
    <w:name w:val="footnote reference"/>
    <w:basedOn w:val="DefaultParagraphFont"/>
    <w:uiPriority w:val="99"/>
    <w:rsid w:val="001D6441"/>
    <w:rPr>
      <w:rFonts w:ascii="Times New Roman" w:hAnsi="Times New Roman" w:cs="Times New Roman"/>
      <w:vertAlign w:val="superscript"/>
    </w:rPr>
  </w:style>
  <w:style w:type="paragraph" w:styleId="ListParagraph">
    <w:name w:val="List Paragraph"/>
    <w:basedOn w:val="Normal"/>
    <w:uiPriority w:val="99"/>
    <w:qFormat/>
    <w:rsid w:val="001D6441"/>
    <w:pPr>
      <w:ind w:firstLineChars="200" w:firstLine="420"/>
    </w:pPr>
  </w:style>
  <w:style w:type="character" w:customStyle="1" w:styleId="Char1">
    <w:name w:val="批注框文本 Char1"/>
    <w:basedOn w:val="DefaultParagraphFont"/>
    <w:uiPriority w:val="99"/>
    <w:semiHidden/>
    <w:rsid w:val="001D6441"/>
    <w:rPr>
      <w:rFonts w:cs="Times New Roman"/>
      <w:sz w:val="18"/>
      <w:szCs w:val="18"/>
    </w:rPr>
  </w:style>
  <w:style w:type="paragraph" w:customStyle="1" w:styleId="Default">
    <w:name w:val="Default"/>
    <w:uiPriority w:val="99"/>
    <w:rsid w:val="001D6441"/>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1D6441"/>
    <w:pPr>
      <w:widowControl/>
      <w:spacing w:before="100" w:beforeAutospacing="1" w:after="100" w:afterAutospacing="1"/>
      <w:jc w:val="left"/>
    </w:pPr>
    <w:rPr>
      <w:rFonts w:ascii="宋体" w:hAnsi="宋体" w:cs="宋体"/>
      <w:kern w:val="0"/>
      <w:sz w:val="24"/>
      <w:szCs w:val="24"/>
    </w:rPr>
  </w:style>
  <w:style w:type="character" w:customStyle="1" w:styleId="4CharChar">
    <w:name w:val="标题 4 Char Char"/>
    <w:uiPriority w:val="99"/>
    <w:rsid w:val="001D6441"/>
    <w:rPr>
      <w:rFonts w:ascii="Calibri" w:hAnsi="Calibri"/>
      <w:b/>
      <w:sz w:val="28"/>
      <w:lang w:eastAsia="en-US"/>
    </w:rPr>
  </w:style>
  <w:style w:type="character" w:customStyle="1" w:styleId="IntenseEmphasis1">
    <w:name w:val="Intense Emphasis1"/>
    <w:basedOn w:val="DefaultParagraphFont"/>
    <w:uiPriority w:val="99"/>
    <w:rsid w:val="001D6441"/>
    <w:rPr>
      <w:rFonts w:cs="Times New Roman"/>
      <w:b/>
      <w:bCs/>
      <w:i/>
      <w:iCs/>
      <w:color w:val="4F81BD"/>
    </w:rPr>
  </w:style>
  <w:style w:type="character" w:customStyle="1" w:styleId="Char10">
    <w:name w:val="文档结构图 Char1"/>
    <w:basedOn w:val="DefaultParagraphFont"/>
    <w:uiPriority w:val="99"/>
    <w:semiHidden/>
    <w:rsid w:val="001D6441"/>
    <w:rPr>
      <w:rFonts w:ascii="宋体" w:eastAsia="宋体" w:cs="Times New Roman"/>
      <w:sz w:val="18"/>
      <w:szCs w:val="18"/>
    </w:rPr>
  </w:style>
  <w:style w:type="character" w:customStyle="1" w:styleId="Char2">
    <w:name w:val="脚注文本 Char2"/>
    <w:basedOn w:val="DefaultParagraphFont"/>
    <w:uiPriority w:val="99"/>
    <w:semiHidden/>
    <w:rsid w:val="001D6441"/>
    <w:rPr>
      <w:rFonts w:cs="Times New Roman"/>
      <w:sz w:val="18"/>
      <w:szCs w:val="18"/>
    </w:rPr>
  </w:style>
  <w:style w:type="paragraph" w:customStyle="1" w:styleId="1">
    <w:name w:val="列出段落1"/>
    <w:basedOn w:val="Normal"/>
    <w:uiPriority w:val="99"/>
    <w:rsid w:val="001D6441"/>
    <w:pPr>
      <w:ind w:firstLineChars="200" w:firstLine="420"/>
    </w:pPr>
  </w:style>
  <w:style w:type="paragraph" w:customStyle="1" w:styleId="4">
    <w:name w:val="列出段落4"/>
    <w:basedOn w:val="Normal"/>
    <w:uiPriority w:val="99"/>
    <w:rsid w:val="001D6441"/>
    <w:pPr>
      <w:ind w:firstLineChars="200" w:firstLine="200"/>
    </w:pPr>
  </w:style>
  <w:style w:type="paragraph" w:customStyle="1" w:styleId="3">
    <w:name w:val="列出段落3"/>
    <w:basedOn w:val="Normal"/>
    <w:uiPriority w:val="99"/>
    <w:rsid w:val="001D6441"/>
    <w:pPr>
      <w:ind w:firstLineChars="200" w:firstLine="420"/>
    </w:pPr>
    <w:rPr>
      <w:rFonts w:ascii="Times New Roman" w:hAnsi="Times New Roman"/>
      <w:szCs w:val="24"/>
    </w:rPr>
  </w:style>
  <w:style w:type="paragraph" w:customStyle="1" w:styleId="p0">
    <w:name w:val="p0"/>
    <w:basedOn w:val="Normal"/>
    <w:uiPriority w:val="99"/>
    <w:rsid w:val="001D6441"/>
    <w:pPr>
      <w:widowControl/>
    </w:pPr>
    <w:rPr>
      <w:rFonts w:cs="宋体"/>
      <w:kern w:val="0"/>
      <w:szCs w:val="21"/>
    </w:rPr>
  </w:style>
  <w:style w:type="paragraph" w:customStyle="1" w:styleId="Revision1">
    <w:name w:val="Revision1"/>
    <w:hidden/>
    <w:uiPriority w:val="99"/>
    <w:semiHidden/>
    <w:rsid w:val="001D6441"/>
  </w:style>
</w:styles>
</file>

<file path=word/webSettings.xml><?xml version="1.0" encoding="utf-8"?>
<w:webSettings xmlns:r="http://schemas.openxmlformats.org/officeDocument/2006/relationships" xmlns:w="http://schemas.openxmlformats.org/wordprocessingml/2006/main">
  <w:divs>
    <w:div w:id="1581981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8</Pages>
  <Words>373</Words>
  <Characters>2127</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朱敏1</dc:creator>
  <cp:keywords/>
  <dc:description/>
  <cp:lastModifiedBy>全海欣</cp:lastModifiedBy>
  <cp:revision>28</cp:revision>
  <cp:lastPrinted>2019-11-29T03:02:00Z</cp:lastPrinted>
  <dcterms:created xsi:type="dcterms:W3CDTF">2019-11-28T09:31:00Z</dcterms:created>
  <dcterms:modified xsi:type="dcterms:W3CDTF">2021-09-13T05:13:00Z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